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7EFE80BF" w:rsidR="00EE0733" w:rsidRPr="00717819" w:rsidRDefault="00EE0733" w:rsidP="00B70BDD">
      <w:pPr>
        <w:pStyle w:val="Header"/>
        <w:tabs>
          <w:tab w:val="right" w:pos="9923"/>
        </w:tabs>
        <w:ind w:right="-7"/>
        <w:rPr>
          <w:rFonts w:cs="Arial"/>
          <w:bCs/>
          <w:i/>
          <w:noProof w:val="0"/>
          <w:sz w:val="32"/>
          <w:lang w:eastAsia="ja-JP"/>
        </w:rPr>
      </w:pPr>
      <w:bookmarkStart w:id="0" w:name="_Hlk209711021"/>
      <w:r w:rsidRPr="00717819">
        <w:rPr>
          <w:rFonts w:cs="Arial"/>
          <w:bCs/>
          <w:noProof w:val="0"/>
          <w:sz w:val="24"/>
        </w:rPr>
        <w:t>3GPP T</w:t>
      </w:r>
      <w:bookmarkStart w:id="1" w:name="_Ref452454252"/>
      <w:bookmarkEnd w:id="1"/>
      <w:r w:rsidRPr="00717819">
        <w:rPr>
          <w:rFonts w:cs="Arial"/>
          <w:bCs/>
          <w:noProof w:val="0"/>
          <w:sz w:val="24"/>
        </w:rPr>
        <w:t>SG-</w:t>
      </w:r>
      <w:r w:rsidRPr="00717819">
        <w:rPr>
          <w:rFonts w:cs="Arial"/>
          <w:bCs/>
          <w:noProof w:val="0"/>
          <w:sz w:val="24"/>
          <w:szCs w:val="24"/>
        </w:rPr>
        <w:t xml:space="preserve">RAN </w:t>
      </w:r>
      <w:r w:rsidR="005124D6" w:rsidRPr="00717819">
        <w:rPr>
          <w:rFonts w:cs="Arial"/>
          <w:noProof w:val="0"/>
          <w:sz w:val="24"/>
          <w:szCs w:val="24"/>
        </w:rPr>
        <w:t xml:space="preserve">WG3 </w:t>
      </w:r>
      <w:r w:rsidR="00AE6E2C" w:rsidRPr="00717819">
        <w:rPr>
          <w:rFonts w:cs="Arial"/>
          <w:noProof w:val="0"/>
          <w:sz w:val="24"/>
          <w:szCs w:val="24"/>
        </w:rPr>
        <w:t>Meeting</w:t>
      </w:r>
      <w:r w:rsidR="0035291D" w:rsidRPr="00717819">
        <w:rPr>
          <w:rFonts w:cs="Arial"/>
          <w:noProof w:val="0"/>
          <w:sz w:val="24"/>
          <w:szCs w:val="24"/>
        </w:rPr>
        <w:t xml:space="preserve"> #1</w:t>
      </w:r>
      <w:r w:rsidR="009B306B" w:rsidRPr="00717819">
        <w:rPr>
          <w:rFonts w:cs="Arial"/>
          <w:noProof w:val="0"/>
          <w:sz w:val="24"/>
          <w:szCs w:val="24"/>
        </w:rPr>
        <w:t>30</w:t>
      </w:r>
      <w:r w:rsidRPr="00717819">
        <w:rPr>
          <w:rFonts w:cs="Arial"/>
          <w:bCs/>
          <w:noProof w:val="0"/>
          <w:sz w:val="24"/>
        </w:rPr>
        <w:tab/>
      </w:r>
      <w:r w:rsidR="007B0593" w:rsidRPr="007B0593">
        <w:rPr>
          <w:rFonts w:cs="Arial"/>
          <w:bCs/>
          <w:noProof w:val="0"/>
          <w:sz w:val="24"/>
          <w:lang w:eastAsia="ja-JP"/>
        </w:rPr>
        <w:t>R3-25851</w:t>
      </w:r>
      <w:r w:rsidR="007B0593">
        <w:rPr>
          <w:rFonts w:cs="Arial"/>
          <w:bCs/>
          <w:noProof w:val="0"/>
          <w:sz w:val="24"/>
          <w:lang w:eastAsia="ja-JP"/>
        </w:rPr>
        <w:t>7</w:t>
      </w:r>
    </w:p>
    <w:p w14:paraId="5D696AD3" w14:textId="6892BD43" w:rsidR="00EE0733" w:rsidRPr="00717819" w:rsidRDefault="009B306B" w:rsidP="00B70BDD">
      <w:pPr>
        <w:pStyle w:val="Header"/>
        <w:rPr>
          <w:rFonts w:cs="Arial"/>
          <w:bCs/>
          <w:noProof w:val="0"/>
          <w:sz w:val="24"/>
          <w:lang w:eastAsia="ja-JP"/>
        </w:rPr>
      </w:pPr>
      <w:r w:rsidRPr="00410098">
        <w:rPr>
          <w:bCs/>
          <w:noProof w:val="0"/>
          <w:sz w:val="24"/>
          <w:szCs w:val="22"/>
        </w:rPr>
        <w:t>Dallas, U</w:t>
      </w:r>
      <w:r w:rsidR="00A9347E">
        <w:rPr>
          <w:bCs/>
          <w:noProof w:val="0"/>
          <w:sz w:val="24"/>
          <w:szCs w:val="22"/>
        </w:rPr>
        <w:t>.</w:t>
      </w:r>
      <w:r w:rsidRPr="00410098">
        <w:rPr>
          <w:bCs/>
          <w:noProof w:val="0"/>
          <w:sz w:val="24"/>
          <w:szCs w:val="22"/>
        </w:rPr>
        <w:t>S</w:t>
      </w:r>
      <w:r w:rsidR="00A9347E">
        <w:rPr>
          <w:bCs/>
          <w:noProof w:val="0"/>
          <w:sz w:val="24"/>
          <w:szCs w:val="22"/>
        </w:rPr>
        <w:t>.A.</w:t>
      </w:r>
      <w:r w:rsidRPr="00410098">
        <w:rPr>
          <w:bCs/>
          <w:noProof w:val="0"/>
          <w:sz w:val="24"/>
          <w:szCs w:val="22"/>
        </w:rPr>
        <w:t xml:space="preserve">, </w:t>
      </w:r>
      <w:r w:rsidRPr="000B6C96">
        <w:rPr>
          <w:bCs/>
          <w:noProof w:val="0"/>
          <w:sz w:val="24"/>
          <w:szCs w:val="22"/>
        </w:rPr>
        <w:t>November 17</w:t>
      </w:r>
      <w:r w:rsidRPr="000B6C96">
        <w:rPr>
          <w:b w:val="0"/>
          <w:bCs/>
          <w:noProof w:val="0"/>
          <w:sz w:val="24"/>
          <w:szCs w:val="22"/>
          <w:vertAlign w:val="superscript"/>
        </w:rPr>
        <w:t>th</w:t>
      </w:r>
      <w:r w:rsidRPr="000B6C96">
        <w:rPr>
          <w:bCs/>
          <w:noProof w:val="0"/>
          <w:sz w:val="24"/>
          <w:szCs w:val="22"/>
        </w:rPr>
        <w:t xml:space="preserve"> – 21</w:t>
      </w:r>
      <w:r w:rsidRPr="000B6C96">
        <w:rPr>
          <w:b w:val="0"/>
          <w:bCs/>
          <w:noProof w:val="0"/>
          <w:sz w:val="24"/>
          <w:szCs w:val="22"/>
          <w:vertAlign w:val="superscript"/>
        </w:rPr>
        <w:t>st</w:t>
      </w:r>
      <w:r w:rsidRPr="000B6C96">
        <w:rPr>
          <w:bCs/>
          <w:noProof w:val="0"/>
          <w:sz w:val="24"/>
          <w:szCs w:val="22"/>
        </w:rPr>
        <w:t>, 2025</w:t>
      </w:r>
    </w:p>
    <w:p w14:paraId="30341611" w14:textId="77777777" w:rsidR="00EE0733" w:rsidRPr="00717819" w:rsidRDefault="00EE0733" w:rsidP="00B70BDD">
      <w:pPr>
        <w:pStyle w:val="Header"/>
        <w:rPr>
          <w:rFonts w:cs="Arial"/>
          <w:bCs/>
          <w:noProof w:val="0"/>
          <w:sz w:val="24"/>
          <w:lang w:eastAsia="ja-JP"/>
        </w:rPr>
      </w:pPr>
    </w:p>
    <w:p w14:paraId="593F55DA" w14:textId="297EA2DC" w:rsidR="005F436C" w:rsidRPr="000B6C96" w:rsidRDefault="005F436C" w:rsidP="005F436C">
      <w:pPr>
        <w:pStyle w:val="a"/>
        <w:rPr>
          <w:lang w:val="en-GB" w:eastAsia="ja-JP"/>
        </w:rPr>
      </w:pPr>
      <w:r w:rsidRPr="000B6C96">
        <w:rPr>
          <w:lang w:val="en-GB"/>
        </w:rPr>
        <w:t>Agenda Item:</w:t>
      </w:r>
      <w:r w:rsidRPr="000B6C96">
        <w:rPr>
          <w:lang w:val="en-GB"/>
        </w:rPr>
        <w:tab/>
      </w:r>
      <w:r w:rsidR="00D73306" w:rsidRPr="000B6C96">
        <w:rPr>
          <w:lang w:val="en-GB"/>
        </w:rPr>
        <w:t>1</w:t>
      </w:r>
      <w:r w:rsidR="002C4943" w:rsidRPr="000B6C96">
        <w:rPr>
          <w:lang w:val="en-GB"/>
        </w:rPr>
        <w:t>1.</w:t>
      </w:r>
      <w:r w:rsidR="00260E4E" w:rsidRPr="000B6C96">
        <w:rPr>
          <w:lang w:val="en-GB"/>
        </w:rPr>
        <w:t>2.</w:t>
      </w:r>
      <w:r w:rsidR="0035109A" w:rsidRPr="000B6C96">
        <w:rPr>
          <w:lang w:val="en-GB"/>
        </w:rPr>
        <w:t>1</w:t>
      </w:r>
    </w:p>
    <w:p w14:paraId="6DCD7791" w14:textId="127420E9" w:rsidR="005F436C" w:rsidRPr="000B6C96" w:rsidRDefault="005F436C" w:rsidP="005F436C">
      <w:pPr>
        <w:pStyle w:val="a"/>
        <w:rPr>
          <w:lang w:val="en-GB" w:eastAsia="ja-JP"/>
        </w:rPr>
      </w:pPr>
      <w:r w:rsidRPr="000B6C96">
        <w:rPr>
          <w:lang w:val="en-GB"/>
        </w:rPr>
        <w:t>Source:</w:t>
      </w:r>
      <w:r w:rsidRPr="000B6C96">
        <w:rPr>
          <w:lang w:val="en-GB"/>
        </w:rPr>
        <w:tab/>
        <w:t>Ericsson</w:t>
      </w:r>
    </w:p>
    <w:p w14:paraId="7E70DAAD" w14:textId="59E5438F" w:rsidR="005F436C" w:rsidRPr="000B6C96" w:rsidRDefault="005F436C" w:rsidP="005F436C">
      <w:pPr>
        <w:pStyle w:val="a"/>
        <w:rPr>
          <w:lang w:val="en-GB" w:eastAsia="ja-JP"/>
        </w:rPr>
      </w:pPr>
      <w:r w:rsidRPr="000B6C96">
        <w:rPr>
          <w:lang w:val="en-GB"/>
        </w:rPr>
        <w:t>Title:</w:t>
      </w:r>
      <w:r w:rsidRPr="000B6C96">
        <w:rPr>
          <w:lang w:val="en-GB"/>
        </w:rPr>
        <w:tab/>
      </w:r>
      <w:r w:rsidR="00260E4E" w:rsidRPr="000B6C96">
        <w:rPr>
          <w:lang w:val="en-GB"/>
        </w:rPr>
        <w:t xml:space="preserve">MRO for </w:t>
      </w:r>
      <w:r w:rsidR="008622E7" w:rsidRPr="000B6C96">
        <w:rPr>
          <w:lang w:val="en-GB"/>
        </w:rPr>
        <w:t>inter-</w:t>
      </w:r>
      <w:proofErr w:type="spellStart"/>
      <w:r w:rsidR="008622E7" w:rsidRPr="000B6C96">
        <w:rPr>
          <w:lang w:val="en-GB"/>
        </w:rPr>
        <w:t>gNB</w:t>
      </w:r>
      <w:proofErr w:type="spellEnd"/>
      <w:r w:rsidR="00260E4E" w:rsidRPr="000B6C96">
        <w:rPr>
          <w:lang w:val="en-GB"/>
        </w:rPr>
        <w:t xml:space="preserve"> LTM</w:t>
      </w:r>
    </w:p>
    <w:p w14:paraId="4A82195B" w14:textId="5CFD1365" w:rsidR="005F436C" w:rsidRPr="000B6C96" w:rsidRDefault="005F436C" w:rsidP="005F436C">
      <w:pPr>
        <w:pStyle w:val="a"/>
        <w:rPr>
          <w:lang w:val="en-GB" w:eastAsia="ja-JP"/>
        </w:rPr>
      </w:pPr>
      <w:r w:rsidRPr="000B6C96">
        <w:rPr>
          <w:lang w:val="en-GB"/>
        </w:rPr>
        <w:t>Document for:</w:t>
      </w:r>
      <w:r w:rsidRPr="000B6C96">
        <w:rPr>
          <w:lang w:val="en-GB"/>
        </w:rPr>
        <w:tab/>
      </w:r>
      <w:r w:rsidR="00941931" w:rsidRPr="000B6C96">
        <w:rPr>
          <w:szCs w:val="22"/>
          <w:lang w:val="en-GB"/>
        </w:rPr>
        <w:t>Discussion</w:t>
      </w:r>
      <w:r w:rsidR="00A7227A" w:rsidRPr="000B6C96">
        <w:rPr>
          <w:szCs w:val="22"/>
          <w:lang w:val="en-GB"/>
        </w:rPr>
        <w:t xml:space="preserve"> and decision</w:t>
      </w:r>
    </w:p>
    <w:p w14:paraId="7C13914B" w14:textId="77777777" w:rsidR="00EE0733" w:rsidRPr="00717819" w:rsidRDefault="00EE0733" w:rsidP="00EE0733">
      <w:pPr>
        <w:pStyle w:val="Heading1"/>
        <w:rPr>
          <w:rFonts w:cs="Arial"/>
        </w:rPr>
      </w:pPr>
      <w:bookmarkStart w:id="2" w:name="_Ref209689956"/>
      <w:r w:rsidRPr="00717819">
        <w:rPr>
          <w:rFonts w:cs="Arial"/>
        </w:rPr>
        <w:t>1</w:t>
      </w:r>
      <w:r w:rsidRPr="00717819">
        <w:rPr>
          <w:rFonts w:cs="Arial"/>
        </w:rPr>
        <w:tab/>
        <w:t>Introduction</w:t>
      </w:r>
      <w:bookmarkEnd w:id="2"/>
    </w:p>
    <w:p w14:paraId="6A85FA16" w14:textId="682D6F25" w:rsidR="007602C5" w:rsidRPr="00717819" w:rsidRDefault="007602C5" w:rsidP="007602C5">
      <w:pPr>
        <w:pStyle w:val="Discussion"/>
      </w:pPr>
      <w:r w:rsidRPr="00717819">
        <w:t>One of the main objectives of the SON/MDT Rel-</w:t>
      </w:r>
      <w:r w:rsidR="00C35A07" w:rsidRPr="00717819">
        <w:t>20</w:t>
      </w:r>
      <w:r w:rsidRPr="00717819">
        <w:t xml:space="preserve"> WID [RP-2</w:t>
      </w:r>
      <w:r w:rsidR="00C35A07" w:rsidRPr="00717819">
        <w:t>52560</w:t>
      </w:r>
      <w:r w:rsidRPr="00717819">
        <w:t xml:space="preserve">] is to enhance the MRO features to optimize the LTM cell switch procedure. </w:t>
      </w:r>
    </w:p>
    <w:tbl>
      <w:tblPr>
        <w:tblStyle w:val="TableGrid"/>
        <w:tblW w:w="0" w:type="auto"/>
        <w:tblLook w:val="04A0" w:firstRow="1" w:lastRow="0" w:firstColumn="1" w:lastColumn="0" w:noHBand="0" w:noVBand="1"/>
      </w:tblPr>
      <w:tblGrid>
        <w:gridCol w:w="9629"/>
      </w:tblGrid>
      <w:tr w:rsidR="00C35A07" w:rsidRPr="00717819" w14:paraId="7AB773C4" w14:textId="77777777" w:rsidTr="00C35A07">
        <w:tc>
          <w:tcPr>
            <w:tcW w:w="9629" w:type="dxa"/>
          </w:tcPr>
          <w:p w14:paraId="45D80E7B" w14:textId="77777777" w:rsidR="00C35A07" w:rsidRPr="00717819" w:rsidRDefault="00C35A07" w:rsidP="00C35A07">
            <w:pPr>
              <w:spacing w:before="120" w:line="280" w:lineRule="atLeast"/>
            </w:pPr>
            <w:r w:rsidRPr="00717819">
              <w:t>- MRO enhancement for R19 mobility mechanisms, including inter-CU LTM and intra-CU conditional LTM [RAN3, RAN2]:</w:t>
            </w:r>
          </w:p>
          <w:p w14:paraId="0CB04D98" w14:textId="77777777" w:rsidR="00C35A07" w:rsidRPr="000B6C96"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629D6994" w14:textId="77777777" w:rsidR="00C35A07" w:rsidRPr="00717819"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28F9301C" w14:textId="214188C3" w:rsidR="00C35A07" w:rsidRPr="00717819" w:rsidRDefault="00C35A07" w:rsidP="00C35A07">
            <w:pPr>
              <w:spacing w:before="120" w:line="280" w:lineRule="atLeast"/>
            </w:pPr>
            <w:r w:rsidRPr="00717819">
              <w:t>If needed, co-operate with RAN1, SA5.</w:t>
            </w:r>
          </w:p>
        </w:tc>
      </w:tr>
    </w:tbl>
    <w:p w14:paraId="298B0BAC" w14:textId="12ED427C" w:rsidR="007602C5" w:rsidRPr="00717819" w:rsidRDefault="007602C5" w:rsidP="00A7227A">
      <w:pPr>
        <w:pStyle w:val="Discussion"/>
      </w:pPr>
      <w:r w:rsidRPr="00717819">
        <w:t>This contribution discusses</w:t>
      </w:r>
      <w:r w:rsidR="00C05E08" w:rsidRPr="00717819">
        <w:t xml:space="preserve"> potential MRO enhancements for </w:t>
      </w:r>
      <w:r w:rsidR="00C35A07" w:rsidRPr="00717819">
        <w:t>inter-CU LTM</w:t>
      </w:r>
      <w:r w:rsidR="00C05E08" w:rsidRPr="00717819">
        <w:t xml:space="preserve"> cell switch. </w:t>
      </w:r>
    </w:p>
    <w:p w14:paraId="1A4F997D" w14:textId="77777777" w:rsidR="00834A71" w:rsidRPr="00717819" w:rsidRDefault="00834A71" w:rsidP="00EE0733">
      <w:pPr>
        <w:pStyle w:val="Heading1"/>
      </w:pPr>
      <w:r w:rsidRPr="00717819">
        <w:t>2</w:t>
      </w:r>
      <w:r w:rsidRPr="00717819">
        <w:tab/>
        <w:t>Discussion</w:t>
      </w:r>
    </w:p>
    <w:p w14:paraId="771C782A" w14:textId="75C81AB5" w:rsidR="000803CB" w:rsidRPr="00717819" w:rsidRDefault="000803CB" w:rsidP="000803CB">
      <w:pPr>
        <w:pStyle w:val="Heading2"/>
      </w:pPr>
      <w:bookmarkStart w:id="3" w:name="_Ref209689962"/>
      <w:r w:rsidRPr="00717819">
        <w:t>2.1</w:t>
      </w:r>
      <w:r w:rsidRPr="00717819">
        <w:tab/>
        <w:t xml:space="preserve">Definition and detection of connection failure </w:t>
      </w:r>
    </w:p>
    <w:p w14:paraId="0534FDCB" w14:textId="5DAF0686" w:rsidR="000803CB" w:rsidRPr="00717819" w:rsidRDefault="000803CB" w:rsidP="000803CB">
      <w:pPr>
        <w:rPr>
          <w:rFonts w:ascii="Arial" w:hAnsi="Arial" w:cs="Arial"/>
        </w:rPr>
      </w:pPr>
      <w:r w:rsidRPr="00717819">
        <w:rPr>
          <w:rFonts w:ascii="Arial" w:hAnsi="Arial" w:cs="Arial"/>
        </w:rPr>
        <w:t>For inter-CU LTM, the definition and detection of connection failure was discussed in RAN3#129bis, and the following agreements were reached:</w:t>
      </w:r>
    </w:p>
    <w:tbl>
      <w:tblPr>
        <w:tblStyle w:val="TableGrid"/>
        <w:tblW w:w="0" w:type="auto"/>
        <w:tblLook w:val="04A0" w:firstRow="1" w:lastRow="0" w:firstColumn="1" w:lastColumn="0" w:noHBand="0" w:noVBand="1"/>
      </w:tblPr>
      <w:tblGrid>
        <w:gridCol w:w="9629"/>
      </w:tblGrid>
      <w:tr w:rsidR="000803CB" w:rsidRPr="00717819" w14:paraId="3C7C8FAC" w14:textId="77777777" w:rsidTr="000803CB">
        <w:tc>
          <w:tcPr>
            <w:tcW w:w="9629" w:type="dxa"/>
          </w:tcPr>
          <w:p w14:paraId="299526A6" w14:textId="77777777" w:rsidR="000803CB" w:rsidRPr="000B6C96" w:rsidRDefault="000803CB" w:rsidP="000803CB">
            <w:pPr>
              <w:pStyle w:val="NormalWeb"/>
              <w:spacing w:before="0" w:beforeAutospacing="0" w:after="60" w:afterAutospacing="0"/>
              <w:rPr>
                <w:rFonts w:ascii="Calibri" w:hAnsi="Calibri" w:cs="Calibri"/>
                <w:color w:val="008000"/>
                <w:sz w:val="18"/>
                <w:szCs w:val="18"/>
                <w:lang w:val="en-GB"/>
              </w:rPr>
            </w:pPr>
            <w:r w:rsidRPr="000B6C96">
              <w:rPr>
                <w:rFonts w:ascii="Calibri" w:hAnsi="Calibri" w:cs="Calibri"/>
                <w:b/>
                <w:bCs/>
                <w:color w:val="008000"/>
                <w:sz w:val="18"/>
                <w:szCs w:val="18"/>
                <w:lang w:val="en-GB"/>
              </w:rPr>
              <w:t xml:space="preserve">For inter-CU LTM, the definition of connection failure cases in 38.300 are taken as base line. </w:t>
            </w:r>
          </w:p>
          <w:p w14:paraId="538550E0" w14:textId="2330BCC2" w:rsidR="000803CB" w:rsidRPr="000B6C96" w:rsidRDefault="000803CB" w:rsidP="000803CB">
            <w:pPr>
              <w:pStyle w:val="NormalWeb"/>
              <w:spacing w:before="0" w:beforeAutospacing="0" w:after="60" w:afterAutospacing="0"/>
              <w:rPr>
                <w:rFonts w:ascii="Calibri" w:hAnsi="Calibri" w:cs="Calibri"/>
                <w:color w:val="008000"/>
                <w:sz w:val="18"/>
                <w:szCs w:val="18"/>
                <w:lang w:val="en-GB"/>
              </w:rPr>
            </w:pPr>
            <w:r w:rsidRPr="000B6C96">
              <w:rPr>
                <w:rFonts w:ascii="Calibri" w:hAnsi="Calibri" w:cs="Calibri"/>
                <w:b/>
                <w:bCs/>
                <w:color w:val="008000"/>
                <w:sz w:val="18"/>
                <w:szCs w:val="18"/>
                <w:lang w:val="en-GB"/>
              </w:rPr>
              <w:t xml:space="preserve">For inter-CU LTM, the detection mechanism of connection failure cases in 38.300 are taken as base line. </w:t>
            </w:r>
          </w:p>
        </w:tc>
      </w:tr>
    </w:tbl>
    <w:p w14:paraId="19562B37" w14:textId="77777777" w:rsidR="000803CB" w:rsidRPr="00717819" w:rsidRDefault="000803CB" w:rsidP="000803CB">
      <w:pPr>
        <w:rPr>
          <w:rFonts w:ascii="Arial" w:hAnsi="Arial" w:cs="Arial"/>
        </w:rPr>
      </w:pPr>
    </w:p>
    <w:p w14:paraId="2E8333F7" w14:textId="7695C8DC" w:rsidR="00144724" w:rsidRPr="00717819" w:rsidRDefault="00B17B06" w:rsidP="000803CB">
      <w:pPr>
        <w:rPr>
          <w:rFonts w:ascii="Arial" w:hAnsi="Arial" w:cs="Arial"/>
        </w:rPr>
      </w:pPr>
      <w:r w:rsidRPr="00717819">
        <w:rPr>
          <w:rFonts w:ascii="Arial" w:hAnsi="Arial" w:cs="Arial"/>
        </w:rPr>
        <w:t>In TS</w:t>
      </w:r>
      <w:r w:rsidR="00571B29" w:rsidRPr="00717819">
        <w:rPr>
          <w:rFonts w:ascii="Arial" w:hAnsi="Arial" w:cs="Arial"/>
        </w:rPr>
        <w:t xml:space="preserve"> </w:t>
      </w:r>
      <w:r w:rsidRPr="00717819">
        <w:rPr>
          <w:rFonts w:ascii="Arial" w:hAnsi="Arial" w:cs="Arial"/>
        </w:rPr>
        <w:t xml:space="preserve">38.300, when describing LTM related connection failure, there is no </w:t>
      </w:r>
      <w:r w:rsidRPr="00717819">
        <w:rPr>
          <w:rFonts w:ascii="Arial" w:hAnsi="Arial" w:cs="Arial"/>
          <w:lang w:eastAsia="zh-CN"/>
        </w:rPr>
        <w:t>d</w:t>
      </w:r>
      <w:r w:rsidR="00F6595B">
        <w:rPr>
          <w:rFonts w:ascii="Arial" w:hAnsi="Arial" w:cs="Arial"/>
          <w:lang w:eastAsia="zh-CN"/>
        </w:rPr>
        <w:t>i</w:t>
      </w:r>
      <w:r w:rsidRPr="00717819">
        <w:rPr>
          <w:rFonts w:ascii="Arial" w:hAnsi="Arial" w:cs="Arial"/>
          <w:lang w:eastAsia="zh-CN"/>
        </w:rPr>
        <w:t xml:space="preserve">stinction </w:t>
      </w:r>
      <w:r w:rsidRPr="00717819">
        <w:rPr>
          <w:rFonts w:ascii="Arial" w:hAnsi="Arial" w:cs="Arial"/>
        </w:rPr>
        <w:t>between intra-CU and inter-CU LTM</w:t>
      </w:r>
      <w:r w:rsidRPr="00717819">
        <w:rPr>
          <w:rFonts w:ascii="Arial" w:hAnsi="Arial" w:cs="Arial"/>
          <w:lang w:eastAsia="zh-CN"/>
        </w:rPr>
        <w:t>.</w:t>
      </w:r>
      <w:r w:rsidRPr="00717819">
        <w:rPr>
          <w:rFonts w:ascii="Arial" w:hAnsi="Arial" w:cs="Arial"/>
        </w:rPr>
        <w:t xml:space="preserve"> </w:t>
      </w:r>
      <w:r w:rsidRPr="00717819">
        <w:rPr>
          <w:rFonts w:ascii="Arial" w:hAnsi="Arial" w:cs="Arial"/>
          <w:lang w:eastAsia="zh-CN"/>
        </w:rPr>
        <w:t>F</w:t>
      </w:r>
      <w:r w:rsidRPr="00717819">
        <w:rPr>
          <w:rFonts w:ascii="Arial" w:hAnsi="Arial" w:cs="Arial"/>
        </w:rPr>
        <w:t>or example, the following</w:t>
      </w:r>
      <w:r w:rsidRPr="00717819">
        <w:rPr>
          <w:rFonts w:ascii="Arial" w:hAnsi="Arial" w:cs="Arial"/>
          <w:lang w:eastAsia="zh-CN"/>
        </w:rPr>
        <w:t xml:space="preserve"> excerpt </w:t>
      </w:r>
      <w:r w:rsidRPr="00717819">
        <w:rPr>
          <w:rFonts w:ascii="Arial" w:hAnsi="Arial" w:cs="Arial"/>
        </w:rPr>
        <w:t xml:space="preserve">is cited </w:t>
      </w:r>
      <w:r w:rsidRPr="00717819">
        <w:rPr>
          <w:rFonts w:ascii="Arial" w:hAnsi="Arial" w:cs="Arial"/>
          <w:lang w:eastAsia="zh-CN"/>
        </w:rPr>
        <w:t>as</w:t>
      </w:r>
      <w:r w:rsidRPr="00717819">
        <w:rPr>
          <w:rFonts w:ascii="Arial" w:hAnsi="Arial" w:cs="Arial"/>
        </w:rPr>
        <w:t xml:space="preserve"> the definition of connection failure:</w:t>
      </w:r>
    </w:p>
    <w:tbl>
      <w:tblPr>
        <w:tblStyle w:val="TableGrid"/>
        <w:tblW w:w="0" w:type="auto"/>
        <w:tblLook w:val="04A0" w:firstRow="1" w:lastRow="0" w:firstColumn="1" w:lastColumn="0" w:noHBand="0" w:noVBand="1"/>
      </w:tblPr>
      <w:tblGrid>
        <w:gridCol w:w="9629"/>
      </w:tblGrid>
      <w:tr w:rsidR="00B17B06" w:rsidRPr="00717819" w14:paraId="689621E1" w14:textId="77777777" w:rsidTr="00B17B06">
        <w:tc>
          <w:tcPr>
            <w:tcW w:w="9629" w:type="dxa"/>
          </w:tcPr>
          <w:p w14:paraId="3AB2633E" w14:textId="2FB58F5B" w:rsidR="00B17B06" w:rsidRPr="00717819" w:rsidRDefault="00B17B06" w:rsidP="000803CB">
            <w:pPr>
              <w:rPr>
                <w:rFonts w:ascii="Arial" w:hAnsi="Arial" w:cs="Arial"/>
              </w:rPr>
            </w:pPr>
            <w:r w:rsidRPr="00717819">
              <w:rPr>
                <w:rFonts w:ascii="Arial" w:hAnsi="Arial" w:cs="Arial"/>
              </w:rPr>
              <w:t>In case of LTM Cell switch, the Too Late Handover, Too Early Handover and Handover to Wrong Cell in the definition above means Too Late LTM cell switch, Too Early LTM cell switch and LTM cell switch to Wrong Cell.</w:t>
            </w:r>
          </w:p>
        </w:tc>
      </w:tr>
    </w:tbl>
    <w:p w14:paraId="0B104CE4" w14:textId="42727F39" w:rsidR="00B17B06" w:rsidRPr="00717819" w:rsidRDefault="00B17B06" w:rsidP="000803CB">
      <w:pPr>
        <w:rPr>
          <w:rFonts w:ascii="Arial" w:hAnsi="Arial" w:cs="Arial"/>
          <w:lang w:eastAsia="zh-CN"/>
        </w:rPr>
      </w:pPr>
    </w:p>
    <w:p w14:paraId="47C36F28" w14:textId="3D4ADA16" w:rsidR="005D4C64" w:rsidRPr="00717819" w:rsidRDefault="005D4C64" w:rsidP="000803CB">
      <w:pPr>
        <w:pStyle w:val="Observation"/>
        <w:numPr>
          <w:ilvl w:val="0"/>
          <w:numId w:val="25"/>
        </w:numPr>
        <w:ind w:left="1701" w:hanging="1701"/>
        <w:rPr>
          <w:rFonts w:cs="Arial"/>
          <w:lang w:eastAsia="zh-CN"/>
        </w:rPr>
      </w:pPr>
      <w:bookmarkStart w:id="4" w:name="_Toc213365962"/>
      <w:r w:rsidRPr="00717819">
        <w:t>The current definition and detection of connection failure in TS 38.300 is applicable to inter-CU LTM.</w:t>
      </w:r>
      <w:bookmarkEnd w:id="4"/>
    </w:p>
    <w:p w14:paraId="6EA81FEB" w14:textId="42F3A991" w:rsidR="00B17B06" w:rsidRPr="000B6C96" w:rsidRDefault="00B17B06" w:rsidP="000803CB">
      <w:pPr>
        <w:rPr>
          <w:rFonts w:ascii="Arial" w:hAnsi="Arial" w:cs="Arial"/>
          <w:lang w:eastAsia="zh-CN"/>
        </w:rPr>
      </w:pPr>
      <w:r w:rsidRPr="00717819">
        <w:rPr>
          <w:rFonts w:ascii="Arial" w:hAnsi="Arial" w:cs="Arial"/>
          <w:lang w:eastAsia="zh-CN"/>
        </w:rPr>
        <w:t xml:space="preserve">Therefore, the current definition and detection of </w:t>
      </w:r>
      <w:r w:rsidRPr="000B6C96">
        <w:rPr>
          <w:rFonts w:ascii="Arial" w:hAnsi="Arial" w:cs="Arial"/>
          <w:lang w:eastAsia="zh-CN"/>
        </w:rPr>
        <w:t xml:space="preserve">LTM </w:t>
      </w:r>
      <w:r w:rsidR="00571B29" w:rsidRPr="000B6C96">
        <w:rPr>
          <w:rFonts w:ascii="Arial" w:hAnsi="Arial" w:cs="Arial"/>
          <w:lang w:eastAsia="zh-CN"/>
        </w:rPr>
        <w:t>related connection failure in TS 38.300 is naturally applicable to inter-CU LTM as well, without requiring any modification.</w:t>
      </w:r>
    </w:p>
    <w:p w14:paraId="02CA7511" w14:textId="6B47A72A" w:rsidR="005D4C64" w:rsidRPr="00717819" w:rsidRDefault="005D4C64" w:rsidP="005D4C64">
      <w:pPr>
        <w:pStyle w:val="Proposal"/>
        <w:tabs>
          <w:tab w:val="clear" w:pos="360"/>
          <w:tab w:val="clear" w:pos="1304"/>
          <w:tab w:val="num" w:pos="9243"/>
        </w:tabs>
        <w:ind w:left="1276" w:hanging="1304"/>
        <w:jc w:val="left"/>
        <w:rPr>
          <w:rFonts w:cs="Arial"/>
        </w:rPr>
      </w:pPr>
      <w:bookmarkStart w:id="5" w:name="_Toc213365967"/>
      <w:r w:rsidRPr="000B6C96">
        <w:t xml:space="preserve">No modification is needed for stage 2 description on definition and detection </w:t>
      </w:r>
      <w:r w:rsidR="00B329EC" w:rsidRPr="000B6C96">
        <w:t xml:space="preserve">of </w:t>
      </w:r>
      <w:r w:rsidRPr="000B6C96">
        <w:t>inter-CU LTM related connection failure</w:t>
      </w:r>
      <w:r w:rsidR="00B329EC" w:rsidRPr="000B6C96">
        <w:t>s</w:t>
      </w:r>
      <w:r w:rsidRPr="000B6C96">
        <w:t>.</w:t>
      </w:r>
      <w:bookmarkEnd w:id="5"/>
    </w:p>
    <w:p w14:paraId="35994016" w14:textId="77777777" w:rsidR="005D4C64" w:rsidRPr="00717819" w:rsidRDefault="005D4C64" w:rsidP="005D4C64">
      <w:pPr>
        <w:pStyle w:val="Observation"/>
        <w:numPr>
          <w:ilvl w:val="0"/>
          <w:numId w:val="0"/>
        </w:numPr>
        <w:tabs>
          <w:tab w:val="clear" w:pos="1304"/>
        </w:tabs>
        <w:rPr>
          <w:rFonts w:cs="Arial"/>
          <w:lang w:eastAsia="zh-CN"/>
        </w:rPr>
      </w:pPr>
    </w:p>
    <w:p w14:paraId="2C975353" w14:textId="77777777" w:rsidR="00571B29" w:rsidRPr="00717819" w:rsidRDefault="00571B29" w:rsidP="00571B29">
      <w:pPr>
        <w:pStyle w:val="Heading2"/>
      </w:pPr>
      <w:r w:rsidRPr="00717819">
        <w:lastRenderedPageBreak/>
        <w:t>2.2</w:t>
      </w:r>
      <w:r w:rsidRPr="00717819">
        <w:tab/>
        <w:t>Failure due to wrong beam and outdated TA</w:t>
      </w:r>
    </w:p>
    <w:p w14:paraId="44646920" w14:textId="088FBDCC" w:rsidR="00571B29" w:rsidRPr="00410098" w:rsidRDefault="00571B29" w:rsidP="00571B29">
      <w:pPr>
        <w:rPr>
          <w:rFonts w:ascii="Arial" w:hAnsi="Arial" w:cs="Arial"/>
        </w:rPr>
      </w:pPr>
      <w:r w:rsidRPr="00717819">
        <w:rPr>
          <w:rFonts w:ascii="Arial" w:hAnsi="Arial" w:cs="Arial"/>
        </w:rPr>
        <w:t>In the previous RAN3#129bis meeting,</w:t>
      </w:r>
      <w:r w:rsidR="00C90768" w:rsidRPr="00717819">
        <w:rPr>
          <w:rFonts w:ascii="Arial" w:hAnsi="Arial" w:cs="Arial"/>
        </w:rPr>
        <w:t xml:space="preserve"> the use case of failure due to wrong beam and outdated TA was agreed to be supported, and the Rel-19 MRO solution should be used as baseline</w:t>
      </w:r>
      <w:r w:rsidR="008952E8" w:rsidRPr="00717819">
        <w:rPr>
          <w:rFonts w:ascii="Arial" w:hAnsi="Arial" w:cs="Arial"/>
        </w:rPr>
        <w:t>.</w:t>
      </w:r>
    </w:p>
    <w:tbl>
      <w:tblPr>
        <w:tblStyle w:val="TableGrid"/>
        <w:tblW w:w="0" w:type="auto"/>
        <w:tblLook w:val="04A0" w:firstRow="1" w:lastRow="0" w:firstColumn="1" w:lastColumn="0" w:noHBand="0" w:noVBand="1"/>
      </w:tblPr>
      <w:tblGrid>
        <w:gridCol w:w="9629"/>
      </w:tblGrid>
      <w:tr w:rsidR="00571B29" w:rsidRPr="00717819" w14:paraId="3CBFE365" w14:textId="77777777" w:rsidTr="009D42A0">
        <w:tc>
          <w:tcPr>
            <w:tcW w:w="9629" w:type="dxa"/>
          </w:tcPr>
          <w:p w14:paraId="5B21BF86" w14:textId="77777777" w:rsidR="00571B29" w:rsidRPr="00410098" w:rsidRDefault="00571B29" w:rsidP="009D42A0">
            <w:pPr>
              <w:pStyle w:val="NormalWeb"/>
              <w:spacing w:before="0" w:beforeAutospacing="0" w:after="60" w:afterAutospacing="0"/>
              <w:rPr>
                <w:rFonts w:ascii="Calibri" w:hAnsi="Calibri" w:cs="Calibri"/>
                <w:sz w:val="18"/>
                <w:szCs w:val="18"/>
                <w:lang w:val="en-GB"/>
              </w:rPr>
            </w:pPr>
            <w:r w:rsidRPr="00410098">
              <w:rPr>
                <w:rFonts w:ascii="Calibri" w:hAnsi="Calibri" w:cs="Calibri"/>
                <w:sz w:val="18"/>
                <w:szCs w:val="18"/>
                <w:lang w:val="en-GB"/>
              </w:rPr>
              <w:t>1.    Use cases</w:t>
            </w:r>
          </w:p>
          <w:p w14:paraId="38BD5BC9" w14:textId="77777777" w:rsidR="00571B29" w:rsidRPr="00410098" w:rsidRDefault="00571B29" w:rsidP="009D42A0">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At least Rel-19 MRO use-cases for intra-CU LTM need to be supported for MRO for inter-CU LTM, i.e.:</w:t>
            </w:r>
          </w:p>
          <w:p w14:paraId="5376FB45" w14:textId="77777777" w:rsidR="00571B29" w:rsidRPr="00410098" w:rsidRDefault="00571B29" w:rsidP="009D42A0">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 xml:space="preserve">BFR shortly after successful LTM cell switch, </w:t>
            </w:r>
            <w:r w:rsidRPr="00410098">
              <w:rPr>
                <w:rFonts w:ascii="Calibri" w:hAnsi="Calibri" w:cs="Calibri"/>
                <w:b/>
                <w:bCs/>
                <w:color w:val="008000"/>
                <w:sz w:val="18"/>
                <w:szCs w:val="18"/>
                <w:highlight w:val="yellow"/>
                <w:lang w:val="en-GB"/>
              </w:rPr>
              <w:t>failure due to wrong beam and outdated TA</w:t>
            </w:r>
            <w:r w:rsidRPr="00410098">
              <w:rPr>
                <w:rFonts w:ascii="Calibri" w:hAnsi="Calibri" w:cs="Calibri"/>
                <w:b/>
                <w:bCs/>
                <w:color w:val="008000"/>
                <w:sz w:val="18"/>
                <w:szCs w:val="18"/>
                <w:lang w:val="en-GB"/>
              </w:rPr>
              <w:t xml:space="preserve">; </w:t>
            </w:r>
          </w:p>
          <w:p w14:paraId="16926A53" w14:textId="77777777" w:rsidR="00571B29" w:rsidRPr="00410098" w:rsidRDefault="00571B29" w:rsidP="009D42A0">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LTM connection failure: too late and too early LTM cell switch, LTM cell switch to wrong cell;</w:t>
            </w:r>
          </w:p>
          <w:p w14:paraId="0A05A6FB" w14:textId="77777777" w:rsidR="00571B29" w:rsidRPr="00410098" w:rsidRDefault="00571B29" w:rsidP="009D42A0">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Near failure case: SHR successful HO</w:t>
            </w:r>
          </w:p>
          <w:p w14:paraId="15E3A0D6" w14:textId="77777777" w:rsidR="00571B29" w:rsidRPr="00410098" w:rsidRDefault="00571B29" w:rsidP="009D42A0">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 xml:space="preserve">Successful case: ping/pong </w:t>
            </w:r>
          </w:p>
          <w:p w14:paraId="669D83F6" w14:textId="77777777" w:rsidR="00C90768" w:rsidRPr="00410098" w:rsidRDefault="00C90768" w:rsidP="00C90768">
            <w:pPr>
              <w:pStyle w:val="NormalWeb"/>
              <w:spacing w:before="0" w:beforeAutospacing="0" w:after="60" w:afterAutospacing="0"/>
              <w:rPr>
                <w:rFonts w:ascii="Calibri" w:hAnsi="Calibri" w:cs="Calibri"/>
                <w:sz w:val="18"/>
                <w:szCs w:val="18"/>
                <w:lang w:val="en-GB"/>
              </w:rPr>
            </w:pPr>
            <w:r w:rsidRPr="00410098">
              <w:rPr>
                <w:rFonts w:ascii="Calibri" w:hAnsi="Calibri" w:cs="Calibri"/>
                <w:sz w:val="18"/>
                <w:szCs w:val="18"/>
                <w:lang w:val="en-GB"/>
              </w:rPr>
              <w:t>2.    Solution options</w:t>
            </w:r>
          </w:p>
          <w:p w14:paraId="589DE751" w14:textId="5331AF2E" w:rsidR="00571B29" w:rsidRPr="00410098" w:rsidRDefault="00C90768" w:rsidP="00C90768">
            <w:pPr>
              <w:pStyle w:val="NormalWeb"/>
              <w:spacing w:before="0" w:beforeAutospacing="0" w:after="60" w:afterAutospacing="0"/>
              <w:rPr>
                <w:rFonts w:ascii="Calibri" w:hAnsi="Calibri" w:cs="Calibri"/>
                <w:color w:val="008000"/>
                <w:sz w:val="18"/>
                <w:szCs w:val="18"/>
                <w:lang w:val="en-GB"/>
              </w:rPr>
            </w:pPr>
            <w:r w:rsidRPr="00410098">
              <w:rPr>
                <w:rFonts w:ascii="Calibri" w:hAnsi="Calibri" w:cs="Calibri"/>
                <w:b/>
                <w:bCs/>
                <w:color w:val="008000"/>
                <w:sz w:val="18"/>
                <w:szCs w:val="18"/>
                <w:lang w:val="en-GB"/>
              </w:rPr>
              <w:t>Rel-19 MRO solutions for intra-CU LTM are taken as baseline for Rel-20 MRO, if applicable.</w:t>
            </w:r>
          </w:p>
        </w:tc>
      </w:tr>
    </w:tbl>
    <w:p w14:paraId="288372C8" w14:textId="77777777" w:rsidR="00571B29" w:rsidRPr="00717819" w:rsidRDefault="00571B29" w:rsidP="00571B29">
      <w:pPr>
        <w:rPr>
          <w:rFonts w:ascii="Arial" w:hAnsi="Arial" w:cs="Arial"/>
        </w:rPr>
      </w:pPr>
    </w:p>
    <w:p w14:paraId="2F3D53EB" w14:textId="5ACD7D73" w:rsidR="008952E8" w:rsidRPr="00717819" w:rsidRDefault="00C90768" w:rsidP="00571B29">
      <w:pPr>
        <w:rPr>
          <w:rFonts w:ascii="Arial" w:hAnsi="Arial" w:cs="Arial"/>
        </w:rPr>
      </w:pPr>
      <w:r w:rsidRPr="00717819">
        <w:rPr>
          <w:rFonts w:ascii="Arial" w:hAnsi="Arial" w:cs="Arial"/>
        </w:rPr>
        <w:t xml:space="preserve">In Rel-19 MRO solution for failure due to wrong beam and outdated TA, </w:t>
      </w:r>
      <w:r w:rsidR="008952E8" w:rsidRPr="00717819">
        <w:rPr>
          <w:rFonts w:ascii="Arial" w:hAnsi="Arial" w:cs="Arial"/>
        </w:rPr>
        <w:t xml:space="preserve">the target </w:t>
      </w:r>
      <w:proofErr w:type="spellStart"/>
      <w:r w:rsidR="008952E8" w:rsidRPr="00717819">
        <w:rPr>
          <w:rFonts w:ascii="Arial" w:hAnsi="Arial" w:cs="Arial"/>
        </w:rPr>
        <w:t>gNB</w:t>
      </w:r>
      <w:proofErr w:type="spellEnd"/>
      <w:r w:rsidR="008952E8" w:rsidRPr="00717819">
        <w:rPr>
          <w:rFonts w:ascii="Arial" w:hAnsi="Arial" w:cs="Arial"/>
        </w:rPr>
        <w:t xml:space="preserve">-DU identifies that the UE successfully performs a RACH-based access while re-establishing or recovering to the same target cell. The target </w:t>
      </w:r>
      <w:proofErr w:type="spellStart"/>
      <w:r w:rsidR="008952E8" w:rsidRPr="00717819">
        <w:rPr>
          <w:rFonts w:ascii="Arial" w:hAnsi="Arial" w:cs="Arial"/>
        </w:rPr>
        <w:t>gNB</w:t>
      </w:r>
      <w:proofErr w:type="spellEnd"/>
      <w:r w:rsidR="008952E8" w:rsidRPr="00717819">
        <w:rPr>
          <w:rFonts w:ascii="Arial" w:hAnsi="Arial" w:cs="Arial"/>
        </w:rPr>
        <w:t xml:space="preserve">-DU sends the re-established or recovery beam information, the TA value used at successful RACH-based access, or both to the source </w:t>
      </w:r>
      <w:proofErr w:type="spellStart"/>
      <w:r w:rsidR="008952E8" w:rsidRPr="00717819">
        <w:rPr>
          <w:rFonts w:ascii="Arial" w:hAnsi="Arial" w:cs="Arial"/>
        </w:rPr>
        <w:t>gNB</w:t>
      </w:r>
      <w:proofErr w:type="spellEnd"/>
      <w:r w:rsidR="008952E8" w:rsidRPr="00717819">
        <w:rPr>
          <w:rFonts w:ascii="Arial" w:hAnsi="Arial" w:cs="Arial"/>
        </w:rPr>
        <w:t xml:space="preserve">-DU via the </w:t>
      </w:r>
      <w:proofErr w:type="spellStart"/>
      <w:r w:rsidR="008952E8" w:rsidRPr="00717819">
        <w:rPr>
          <w:rFonts w:ascii="Arial" w:hAnsi="Arial" w:cs="Arial"/>
        </w:rPr>
        <w:t>gNB</w:t>
      </w:r>
      <w:proofErr w:type="spellEnd"/>
      <w:r w:rsidR="008952E8" w:rsidRPr="00717819">
        <w:rPr>
          <w:rFonts w:ascii="Arial" w:hAnsi="Arial" w:cs="Arial"/>
        </w:rPr>
        <w:t>-CU.</w:t>
      </w:r>
    </w:p>
    <w:p w14:paraId="5807ACFB" w14:textId="092FF761" w:rsidR="008952E8" w:rsidRPr="00717819" w:rsidRDefault="008952E8" w:rsidP="00571B29">
      <w:pPr>
        <w:rPr>
          <w:rFonts w:ascii="Arial" w:hAnsi="Arial" w:cs="Arial"/>
        </w:rPr>
      </w:pPr>
      <w:r w:rsidRPr="00717819">
        <w:rPr>
          <w:rFonts w:ascii="Arial" w:hAnsi="Arial" w:cs="Arial"/>
        </w:rPr>
        <w:t xml:space="preserve">The re-established or recovery beam information and the TA value used at successful RACH-based access should also be transferred in </w:t>
      </w:r>
      <w:proofErr w:type="spellStart"/>
      <w:r w:rsidRPr="00717819">
        <w:rPr>
          <w:rFonts w:ascii="Arial" w:hAnsi="Arial" w:cs="Arial"/>
        </w:rPr>
        <w:t>XnAP</w:t>
      </w:r>
      <w:proofErr w:type="spellEnd"/>
      <w:r w:rsidRPr="00717819">
        <w:rPr>
          <w:rFonts w:ascii="Arial" w:hAnsi="Arial" w:cs="Arial"/>
        </w:rPr>
        <w:t xml:space="preserve"> to extend the Rel-19 MRO solutions to support inter-CU LTM case.</w:t>
      </w:r>
    </w:p>
    <w:p w14:paraId="7E31F7D3" w14:textId="16BA6749" w:rsidR="00A721FA" w:rsidRPr="00717819" w:rsidRDefault="008952E8" w:rsidP="00571B29">
      <w:pPr>
        <w:rPr>
          <w:rFonts w:ascii="Arial" w:hAnsi="Arial" w:cs="Arial"/>
        </w:rPr>
      </w:pPr>
      <w:r w:rsidRPr="00717819">
        <w:rPr>
          <w:rFonts w:ascii="Arial" w:hAnsi="Arial" w:cs="Arial"/>
        </w:rPr>
        <w:t>Rega</w:t>
      </w:r>
      <w:r w:rsidR="00410098">
        <w:rPr>
          <w:rFonts w:ascii="Arial" w:hAnsi="Arial" w:cs="Arial"/>
        </w:rPr>
        <w:t>rd</w:t>
      </w:r>
      <w:r w:rsidRPr="00717819">
        <w:rPr>
          <w:rFonts w:ascii="Arial" w:hAnsi="Arial" w:cs="Arial"/>
        </w:rPr>
        <w:t>ing the signal</w:t>
      </w:r>
      <w:r w:rsidR="00410098">
        <w:rPr>
          <w:rFonts w:ascii="Arial" w:hAnsi="Arial" w:cs="Arial"/>
        </w:rPr>
        <w:t>l</w:t>
      </w:r>
      <w:r w:rsidRPr="00717819">
        <w:rPr>
          <w:rFonts w:ascii="Arial" w:hAnsi="Arial" w:cs="Arial"/>
        </w:rPr>
        <w:t xml:space="preserve">ing in </w:t>
      </w:r>
      <w:proofErr w:type="spellStart"/>
      <w:r w:rsidRPr="00717819">
        <w:rPr>
          <w:rFonts w:ascii="Arial" w:hAnsi="Arial" w:cs="Arial"/>
        </w:rPr>
        <w:t>XnAP</w:t>
      </w:r>
      <w:proofErr w:type="spellEnd"/>
      <w:r w:rsidRPr="00717819">
        <w:rPr>
          <w:rFonts w:ascii="Arial" w:hAnsi="Arial" w:cs="Arial"/>
        </w:rPr>
        <w:t xml:space="preserve">, we think the </w:t>
      </w:r>
      <w:r w:rsidR="00975847" w:rsidRPr="00717819">
        <w:rPr>
          <w:rFonts w:ascii="Arial" w:hAnsi="Arial" w:cs="Arial"/>
        </w:rPr>
        <w:t>FAILURE INDICATION</w:t>
      </w:r>
      <w:r w:rsidRPr="00717819">
        <w:rPr>
          <w:rFonts w:ascii="Arial" w:hAnsi="Arial" w:cs="Arial"/>
        </w:rPr>
        <w:t xml:space="preserve"> message is more suitable than </w:t>
      </w:r>
      <w:r w:rsidR="00975847" w:rsidRPr="00717819">
        <w:rPr>
          <w:rFonts w:ascii="Arial" w:hAnsi="Arial" w:cs="Arial"/>
        </w:rPr>
        <w:t xml:space="preserve">ACCESS AND </w:t>
      </w:r>
      <w:bookmarkStart w:id="6" w:name="_Toc5646119"/>
      <w:r w:rsidR="00975847" w:rsidRPr="00717819">
        <w:rPr>
          <w:rFonts w:ascii="Arial" w:hAnsi="Arial" w:cs="Arial"/>
        </w:rPr>
        <w:t>MOBIL</w:t>
      </w:r>
      <w:r w:rsidR="00410098">
        <w:rPr>
          <w:rFonts w:ascii="Arial" w:hAnsi="Arial" w:cs="Arial"/>
        </w:rPr>
        <w:t>I</w:t>
      </w:r>
      <w:r w:rsidR="00975847" w:rsidRPr="00717819">
        <w:rPr>
          <w:rFonts w:ascii="Arial" w:hAnsi="Arial" w:cs="Arial"/>
        </w:rPr>
        <w:t xml:space="preserve">TY </w:t>
      </w:r>
      <w:bookmarkEnd w:id="6"/>
      <w:r w:rsidR="00975847" w:rsidRPr="00717819">
        <w:rPr>
          <w:rFonts w:ascii="Arial" w:hAnsi="Arial" w:cs="Arial"/>
        </w:rPr>
        <w:t xml:space="preserve">INDICATION </w:t>
      </w:r>
      <w:r w:rsidRPr="00717819">
        <w:rPr>
          <w:rFonts w:ascii="Arial" w:hAnsi="Arial" w:cs="Arial"/>
        </w:rPr>
        <w:t>message as the Failure Indication procedure is designed to transfer information regarding RRC re-establishment attempts, or received RLF Reports, between NG-RAN nodes.</w:t>
      </w:r>
      <w:r w:rsidRPr="00717819">
        <w:t xml:space="preserve"> </w:t>
      </w:r>
      <w:r w:rsidRPr="00717819">
        <w:rPr>
          <w:rFonts w:ascii="Arial" w:hAnsi="Arial" w:cs="Arial"/>
        </w:rPr>
        <w:t xml:space="preserve">The </w:t>
      </w:r>
      <w:r w:rsidR="00975847" w:rsidRPr="00717819">
        <w:rPr>
          <w:rFonts w:ascii="Arial" w:hAnsi="Arial" w:cs="Arial"/>
        </w:rPr>
        <w:t xml:space="preserve">FAILURE INDICATION </w:t>
      </w:r>
      <w:r w:rsidRPr="00717819">
        <w:rPr>
          <w:rFonts w:ascii="Arial" w:hAnsi="Arial" w:cs="Arial"/>
        </w:rPr>
        <w:t xml:space="preserve">message signalling takes place from the NG-RAN node at which a re-establishment attempt is made, or an RLF Report is </w:t>
      </w:r>
      <w:r w:rsidR="00975847" w:rsidRPr="00717819">
        <w:rPr>
          <w:rFonts w:ascii="Arial" w:hAnsi="Arial" w:cs="Arial"/>
        </w:rPr>
        <w:t>retrieved</w:t>
      </w:r>
      <w:r w:rsidRPr="00717819">
        <w:rPr>
          <w:rFonts w:ascii="Arial" w:hAnsi="Arial" w:cs="Arial"/>
        </w:rPr>
        <w:t>, to an NG-RAN node to which the UE concerned may have previously been attached prior to the connection failure.</w:t>
      </w:r>
    </w:p>
    <w:p w14:paraId="23D2DEC3" w14:textId="58B84B20" w:rsidR="00A721FA" w:rsidRPr="00717819" w:rsidRDefault="00A721FA" w:rsidP="00571B29">
      <w:pPr>
        <w:rPr>
          <w:rFonts w:ascii="Arial" w:hAnsi="Arial" w:cs="Arial"/>
        </w:rPr>
      </w:pPr>
      <w:r w:rsidRPr="00717819">
        <w:rPr>
          <w:rFonts w:ascii="Arial" w:hAnsi="Arial" w:cs="Arial"/>
        </w:rPr>
        <w:t>The beam and TA information for the failure due to wrong beam or outdated TA should be transmitted from the node of a re-establishment or recov</w:t>
      </w:r>
      <w:r w:rsidR="00975847" w:rsidRPr="00717819">
        <w:rPr>
          <w:rFonts w:ascii="Arial" w:hAnsi="Arial" w:cs="Arial"/>
        </w:rPr>
        <w:t>er</w:t>
      </w:r>
      <w:r w:rsidRPr="00717819">
        <w:rPr>
          <w:rFonts w:ascii="Arial" w:hAnsi="Arial" w:cs="Arial"/>
        </w:rPr>
        <w:t>ing attempt to the sou</w:t>
      </w:r>
      <w:r w:rsidR="00410098">
        <w:rPr>
          <w:rFonts w:ascii="Arial" w:hAnsi="Arial" w:cs="Arial"/>
        </w:rPr>
        <w:t>r</w:t>
      </w:r>
      <w:r w:rsidRPr="00717819">
        <w:rPr>
          <w:rFonts w:ascii="Arial" w:hAnsi="Arial" w:cs="Arial"/>
        </w:rPr>
        <w:t xml:space="preserve">ce node, which is exactly the purpose and the message transfer as the </w:t>
      </w:r>
      <w:r w:rsidR="00975847" w:rsidRPr="00717819">
        <w:rPr>
          <w:rFonts w:ascii="Arial" w:hAnsi="Arial" w:cs="Arial"/>
        </w:rPr>
        <w:t xml:space="preserve">FAILURE INDICATION </w:t>
      </w:r>
      <w:r w:rsidRPr="00717819">
        <w:rPr>
          <w:rFonts w:ascii="Arial" w:hAnsi="Arial" w:cs="Arial"/>
        </w:rPr>
        <w:t xml:space="preserve">message. </w:t>
      </w:r>
    </w:p>
    <w:p w14:paraId="3D0D87C0" w14:textId="25690D05" w:rsidR="00571B29" w:rsidRPr="00717819" w:rsidRDefault="00FB3274" w:rsidP="00571B29">
      <w:pPr>
        <w:pStyle w:val="Proposal"/>
        <w:tabs>
          <w:tab w:val="clear" w:pos="360"/>
          <w:tab w:val="clear" w:pos="1304"/>
          <w:tab w:val="num" w:pos="9243"/>
        </w:tabs>
        <w:ind w:left="1276" w:hanging="1304"/>
        <w:jc w:val="left"/>
        <w:rPr>
          <w:rFonts w:cs="Arial"/>
        </w:rPr>
      </w:pPr>
      <w:bookmarkStart w:id="7" w:name="_Toc210338817"/>
      <w:bookmarkStart w:id="8" w:name="_Toc213062268"/>
      <w:bookmarkStart w:id="9" w:name="_Toc213365968"/>
      <w:r w:rsidRPr="00410098">
        <w:t xml:space="preserve">Use </w:t>
      </w:r>
      <w:r w:rsidR="00571B29" w:rsidRPr="00410098">
        <w:t xml:space="preserve">FAILURE INDICATION </w:t>
      </w:r>
      <w:proofErr w:type="spellStart"/>
      <w:r w:rsidR="00571B29" w:rsidRPr="00410098">
        <w:t>XnAP</w:t>
      </w:r>
      <w:proofErr w:type="spellEnd"/>
      <w:r w:rsidR="00571B29" w:rsidRPr="00410098">
        <w:t xml:space="preserve"> message</w:t>
      </w:r>
      <w:r w:rsidRPr="00410098">
        <w:t xml:space="preserve"> to transmit beam and TA information for failure due to wrong beam and outdated TA</w:t>
      </w:r>
      <w:r w:rsidR="00571B29" w:rsidRPr="00410098">
        <w:t>.</w:t>
      </w:r>
      <w:bookmarkEnd w:id="7"/>
      <w:bookmarkEnd w:id="8"/>
      <w:bookmarkEnd w:id="9"/>
    </w:p>
    <w:p w14:paraId="4CA5AE95" w14:textId="24CAE371" w:rsidR="00571B29" w:rsidRPr="00717819" w:rsidRDefault="00F22251" w:rsidP="0055536F">
      <w:pPr>
        <w:pStyle w:val="Heading2"/>
      </w:pPr>
      <w:r w:rsidRPr="00717819">
        <w:t>2.3</w:t>
      </w:r>
      <w:r w:rsidRPr="00717819">
        <w:tab/>
        <w:t>BFD/BFR shortly after successful LTM cell switch</w:t>
      </w:r>
    </w:p>
    <w:p w14:paraId="71930BD3" w14:textId="29401CEC" w:rsidR="00B33485" w:rsidRPr="00717819" w:rsidRDefault="000803CB" w:rsidP="00B33485">
      <w:pPr>
        <w:rPr>
          <w:rFonts w:ascii="Arial" w:hAnsi="Arial" w:cs="Arial"/>
        </w:rPr>
      </w:pPr>
      <w:r w:rsidRPr="00717819">
        <w:rPr>
          <w:rFonts w:ascii="Arial" w:hAnsi="Arial" w:cs="Arial"/>
        </w:rPr>
        <w:t xml:space="preserve">The case of BFD/BFR shortly after successful LTM cell switch </w:t>
      </w:r>
      <w:r w:rsidR="00B33485" w:rsidRPr="00717819">
        <w:rPr>
          <w:rFonts w:ascii="Arial" w:hAnsi="Arial" w:cs="Arial"/>
        </w:rPr>
        <w:t xml:space="preserve">was also agreed to be supported, and the Rel-19 MRO solution should be used as baseline </w:t>
      </w:r>
      <w:r w:rsidR="001B72A7" w:rsidRPr="00717819">
        <w:rPr>
          <w:rFonts w:ascii="Arial" w:hAnsi="Arial" w:cs="Arial"/>
        </w:rPr>
        <w:t xml:space="preserve">as per agreement during </w:t>
      </w:r>
      <w:r w:rsidR="00B33485" w:rsidRPr="00717819">
        <w:rPr>
          <w:rFonts w:ascii="Arial" w:hAnsi="Arial" w:cs="Arial"/>
        </w:rPr>
        <w:t xml:space="preserve">the previous RAN3 meeting. </w:t>
      </w:r>
      <w:r w:rsidR="001B72A7" w:rsidRPr="00717819">
        <w:rPr>
          <w:rFonts w:ascii="Arial" w:hAnsi="Arial" w:cs="Arial"/>
        </w:rPr>
        <w:t>T</w:t>
      </w:r>
      <w:r w:rsidR="00B33485" w:rsidRPr="00717819">
        <w:rPr>
          <w:rFonts w:ascii="Arial" w:hAnsi="Arial" w:cs="Arial"/>
        </w:rPr>
        <w:t xml:space="preserve">herefore, the recovery beam information should also be transferred </w:t>
      </w:r>
      <w:r w:rsidR="001B72A7" w:rsidRPr="00717819">
        <w:rPr>
          <w:rFonts w:ascii="Arial" w:hAnsi="Arial" w:cs="Arial"/>
        </w:rPr>
        <w:t>using</w:t>
      </w:r>
      <w:r w:rsidR="00B33485" w:rsidRPr="00717819">
        <w:rPr>
          <w:rFonts w:ascii="Arial" w:hAnsi="Arial" w:cs="Arial"/>
        </w:rPr>
        <w:t xml:space="preserve"> </w:t>
      </w:r>
      <w:proofErr w:type="spellStart"/>
      <w:r w:rsidR="00B33485" w:rsidRPr="00717819">
        <w:rPr>
          <w:rFonts w:ascii="Arial" w:hAnsi="Arial" w:cs="Arial"/>
        </w:rPr>
        <w:t>XnAP</w:t>
      </w:r>
      <w:proofErr w:type="spellEnd"/>
      <w:r w:rsidR="00B33485" w:rsidRPr="00717819">
        <w:rPr>
          <w:rFonts w:ascii="Arial" w:hAnsi="Arial" w:cs="Arial"/>
        </w:rPr>
        <w:t xml:space="preserve"> to extend the Rel-19 MRO solutions to support </w:t>
      </w:r>
      <w:r w:rsidR="001B72A7" w:rsidRPr="00717819">
        <w:rPr>
          <w:rFonts w:ascii="Arial" w:hAnsi="Arial" w:cs="Arial"/>
        </w:rPr>
        <w:t xml:space="preserve">the </w:t>
      </w:r>
      <w:r w:rsidR="00B33485" w:rsidRPr="00717819">
        <w:rPr>
          <w:rFonts w:ascii="Arial" w:hAnsi="Arial" w:cs="Arial"/>
        </w:rPr>
        <w:t>inter-CU LTM case.</w:t>
      </w:r>
    </w:p>
    <w:p w14:paraId="56023825" w14:textId="04EA837B" w:rsidR="00B33485" w:rsidRPr="00717819" w:rsidRDefault="00DA37DC" w:rsidP="00B33485">
      <w:pPr>
        <w:rPr>
          <w:rFonts w:ascii="Arial" w:hAnsi="Arial" w:cs="Arial"/>
          <w:lang w:eastAsia="zh-CN"/>
        </w:rPr>
      </w:pPr>
      <w:r w:rsidRPr="00717819">
        <w:rPr>
          <w:rFonts w:ascii="Arial" w:hAnsi="Arial" w:cs="Arial"/>
        </w:rPr>
        <w:t>T</w:t>
      </w:r>
      <w:r w:rsidR="00B33485" w:rsidRPr="00717819">
        <w:rPr>
          <w:rFonts w:ascii="Arial" w:hAnsi="Arial" w:cs="Arial"/>
        </w:rPr>
        <w:t xml:space="preserve">o </w:t>
      </w:r>
      <w:r w:rsidRPr="00717819">
        <w:rPr>
          <w:rFonts w:ascii="Arial" w:hAnsi="Arial" w:cs="Arial"/>
          <w:lang w:eastAsia="zh-CN"/>
        </w:rPr>
        <w:t xml:space="preserve">align and </w:t>
      </w:r>
      <w:r w:rsidRPr="00717819">
        <w:rPr>
          <w:rFonts w:ascii="Arial" w:hAnsi="Arial" w:cs="Arial"/>
        </w:rPr>
        <w:t>leverage the specification and implementation effort</w:t>
      </w:r>
      <w:r w:rsidRPr="00717819">
        <w:rPr>
          <w:rFonts w:ascii="Arial" w:hAnsi="Arial" w:cs="Arial"/>
          <w:lang w:eastAsia="zh-CN"/>
        </w:rPr>
        <w:t>s</w:t>
      </w:r>
      <w:r w:rsidRPr="00717819">
        <w:rPr>
          <w:rFonts w:ascii="Arial" w:hAnsi="Arial" w:cs="Arial"/>
        </w:rPr>
        <w:t xml:space="preserve"> for the case of failure due to wrong beam and outdated TA, the same </w:t>
      </w:r>
      <w:proofErr w:type="spellStart"/>
      <w:r w:rsidRPr="00717819">
        <w:rPr>
          <w:rFonts w:ascii="Arial" w:hAnsi="Arial" w:cs="Arial"/>
        </w:rPr>
        <w:t>XnAP</w:t>
      </w:r>
      <w:proofErr w:type="spellEnd"/>
      <w:r w:rsidRPr="00717819">
        <w:rPr>
          <w:rFonts w:ascii="Arial" w:hAnsi="Arial" w:cs="Arial"/>
        </w:rPr>
        <w:t xml:space="preserve"> message is better to be used for the case of BFD/BFR shortly after successful LTM cell switch</w:t>
      </w:r>
      <w:r w:rsidRPr="00717819">
        <w:rPr>
          <w:rFonts w:ascii="Arial" w:hAnsi="Arial" w:cs="Arial"/>
          <w:lang w:eastAsia="zh-CN"/>
        </w:rPr>
        <w:t>.</w:t>
      </w:r>
    </w:p>
    <w:p w14:paraId="1C662810" w14:textId="12AAA14A" w:rsidR="00B33485" w:rsidRPr="00717819" w:rsidRDefault="00B33485" w:rsidP="00B33485">
      <w:pPr>
        <w:pStyle w:val="Proposal"/>
        <w:tabs>
          <w:tab w:val="clear" w:pos="360"/>
          <w:tab w:val="clear" w:pos="1304"/>
          <w:tab w:val="num" w:pos="9243"/>
        </w:tabs>
        <w:ind w:left="1276" w:hanging="1304"/>
        <w:jc w:val="left"/>
        <w:rPr>
          <w:rFonts w:cs="Arial"/>
        </w:rPr>
      </w:pPr>
      <w:bookmarkStart w:id="10" w:name="_Toc213062269"/>
      <w:bookmarkStart w:id="11" w:name="_Toc213365969"/>
      <w:r w:rsidRPr="00410098">
        <w:t xml:space="preserve">Use FAILURE INDICATION </w:t>
      </w:r>
      <w:proofErr w:type="spellStart"/>
      <w:r w:rsidRPr="00410098">
        <w:t>XnAP</w:t>
      </w:r>
      <w:proofErr w:type="spellEnd"/>
      <w:r w:rsidRPr="00410098">
        <w:t xml:space="preserve"> message to transmit </w:t>
      </w:r>
      <w:r w:rsidR="00DA37DC" w:rsidRPr="00410098">
        <w:t xml:space="preserve">the recovery </w:t>
      </w:r>
      <w:r w:rsidRPr="00410098">
        <w:t>beam information for BFD/BFR shortly after successful LTM cell switch.</w:t>
      </w:r>
      <w:bookmarkEnd w:id="10"/>
      <w:bookmarkEnd w:id="11"/>
    </w:p>
    <w:p w14:paraId="7CA808CF" w14:textId="44F31D9C" w:rsidR="000803CB" w:rsidRPr="00717819" w:rsidRDefault="000803CB" w:rsidP="000803CB">
      <w:pPr>
        <w:rPr>
          <w:rFonts w:ascii="Arial" w:hAnsi="Arial" w:cs="Arial"/>
        </w:rPr>
      </w:pPr>
      <w:r w:rsidRPr="00717819">
        <w:rPr>
          <w:rFonts w:ascii="Arial" w:hAnsi="Arial" w:cs="Arial"/>
          <w:lang w:eastAsia="zh-CN"/>
        </w:rPr>
        <w:t xml:space="preserve">For intra-CU LTM, the CU always has the UE context when a BFR happens shortly after successful LTM cell switch. However, after a successful inter-CU LTM execution, the source CU has the possibility to release the UE context. The configured time threshold for detecting BFR shortly after successful LTM cell switch, </w:t>
      </w:r>
      <w:r w:rsidR="00410098" w:rsidRPr="00717819">
        <w:rPr>
          <w:rFonts w:ascii="Arial" w:hAnsi="Arial" w:cs="Arial"/>
          <w:lang w:eastAsia="zh-CN"/>
        </w:rPr>
        <w:t>e.g.</w:t>
      </w:r>
      <w:r w:rsidRPr="00717819">
        <w:rPr>
          <w:rFonts w:ascii="Arial" w:hAnsi="Arial" w:cs="Arial"/>
          <w:lang w:eastAsia="zh-CN"/>
        </w:rPr>
        <w:t xml:space="preserve"> </w:t>
      </w:r>
      <w:proofErr w:type="spellStart"/>
      <w:r w:rsidRPr="00717819">
        <w:rPr>
          <w:rFonts w:ascii="Arial" w:hAnsi="Arial" w:cs="Arial"/>
        </w:rPr>
        <w:t>Tstore_UE_cntxt</w:t>
      </w:r>
      <w:proofErr w:type="spellEnd"/>
      <w:r w:rsidRPr="00717819">
        <w:rPr>
          <w:rFonts w:ascii="Arial" w:hAnsi="Arial" w:cs="Arial"/>
        </w:rPr>
        <w:t xml:space="preserve"> can be quite long. Below is the allowed range defined in TS 28.541, cl. 4.4.1, for </w:t>
      </w:r>
      <w:proofErr w:type="spellStart"/>
      <w:r w:rsidRPr="00717819">
        <w:rPr>
          <w:rFonts w:ascii="Arial" w:hAnsi="Arial" w:cs="Arial"/>
        </w:rPr>
        <w:t>Tstore_UE_cntxt</w:t>
      </w:r>
      <w:proofErr w:type="spellEnd"/>
      <w:r w:rsidRPr="00717819">
        <w:rPr>
          <w:rFonts w:ascii="Arial" w:hAnsi="Arial" w:cs="Arial"/>
        </w:rPr>
        <w:t xml:space="preserve"> for a reference.</w:t>
      </w:r>
    </w:p>
    <w:p w14:paraId="5566F199" w14:textId="77777777" w:rsidR="000803CB" w:rsidRPr="00717819" w:rsidRDefault="000803CB" w:rsidP="000803CB">
      <w:pPr>
        <w:rPr>
          <w:rFonts w:ascii="Arial" w:hAnsi="Arial" w:cs="Arial"/>
        </w:rPr>
      </w:pPr>
      <w:r w:rsidRPr="000B6C96">
        <w:rPr>
          <w:rFonts w:ascii="Arial" w:hAnsi="Arial" w:cs="Arial"/>
          <w:noProof/>
        </w:rPr>
        <w:lastRenderedPageBreak/>
        <w:drawing>
          <wp:inline distT="0" distB="0" distL="0" distR="0" wp14:anchorId="11854BDC" wp14:editId="41BBFDA8">
            <wp:extent cx="6120765" cy="942975"/>
            <wp:effectExtent l="0" t="0" r="0" b="9525"/>
            <wp:docPr id="514061881" name="Picture 1" descr="A close-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02568" name="Picture 1" descr="A close-up of a message&#10;&#10;AI-generated content may be incorrect."/>
                    <pic:cNvPicPr/>
                  </pic:nvPicPr>
                  <pic:blipFill>
                    <a:blip r:embed="rId12"/>
                    <a:stretch>
                      <a:fillRect/>
                    </a:stretch>
                  </pic:blipFill>
                  <pic:spPr>
                    <a:xfrm>
                      <a:off x="0" y="0"/>
                      <a:ext cx="6120765" cy="942975"/>
                    </a:xfrm>
                    <a:prstGeom prst="rect">
                      <a:avLst/>
                    </a:prstGeom>
                  </pic:spPr>
                </pic:pic>
              </a:graphicData>
            </a:graphic>
          </wp:inline>
        </w:drawing>
      </w:r>
    </w:p>
    <w:p w14:paraId="694F52EC" w14:textId="3761B2D6" w:rsidR="00425BB8" w:rsidRPr="00717819" w:rsidRDefault="00425BB8" w:rsidP="00425BB8">
      <w:pPr>
        <w:rPr>
          <w:rFonts w:ascii="Arial" w:hAnsi="Arial" w:cs="Arial"/>
        </w:rPr>
      </w:pPr>
      <w:r w:rsidRPr="00717819">
        <w:rPr>
          <w:rFonts w:ascii="Arial" w:hAnsi="Arial" w:cs="Arial"/>
        </w:rPr>
        <w:t>Hence, the sou</w:t>
      </w:r>
      <w:r w:rsidR="00C05E08" w:rsidRPr="00717819">
        <w:rPr>
          <w:rFonts w:ascii="Arial" w:hAnsi="Arial" w:cs="Arial"/>
        </w:rPr>
        <w:t>r</w:t>
      </w:r>
      <w:r w:rsidRPr="00717819">
        <w:rPr>
          <w:rFonts w:ascii="Arial" w:hAnsi="Arial" w:cs="Arial"/>
        </w:rPr>
        <w:t xml:space="preserve">ce CU may be required to </w:t>
      </w:r>
      <w:r w:rsidR="00C27D3B" w:rsidRPr="00717819">
        <w:rPr>
          <w:rFonts w:ascii="Arial" w:hAnsi="Arial" w:cs="Arial"/>
        </w:rPr>
        <w:t>retain</w:t>
      </w:r>
      <w:r w:rsidRPr="00717819">
        <w:rPr>
          <w:rFonts w:ascii="Arial" w:hAnsi="Arial" w:cs="Arial"/>
        </w:rPr>
        <w:t xml:space="preserve"> the UE context for a</w:t>
      </w:r>
      <w:r w:rsidR="00245593" w:rsidRPr="00717819">
        <w:rPr>
          <w:rFonts w:ascii="Arial" w:hAnsi="Arial" w:cs="Arial"/>
        </w:rPr>
        <w:t>n</w:t>
      </w:r>
      <w:r w:rsidRPr="00717819">
        <w:rPr>
          <w:rFonts w:ascii="Arial" w:hAnsi="Arial" w:cs="Arial"/>
        </w:rPr>
        <w:t xml:space="preserve"> </w:t>
      </w:r>
      <w:r w:rsidR="00C27D3B" w:rsidRPr="00717819">
        <w:rPr>
          <w:rFonts w:ascii="Arial" w:hAnsi="Arial" w:cs="Arial"/>
        </w:rPr>
        <w:t xml:space="preserve">extended </w:t>
      </w:r>
      <w:r w:rsidRPr="00717819">
        <w:rPr>
          <w:rFonts w:ascii="Arial" w:hAnsi="Arial" w:cs="Arial"/>
        </w:rPr>
        <w:t xml:space="preserve">period for MRO purposes </w:t>
      </w:r>
      <w:r w:rsidR="00C27D3B" w:rsidRPr="00717819">
        <w:rPr>
          <w:rFonts w:ascii="Arial" w:hAnsi="Arial" w:cs="Arial"/>
        </w:rPr>
        <w:t>solely in case an</w:t>
      </w:r>
      <w:r w:rsidRPr="00717819">
        <w:rPr>
          <w:rFonts w:ascii="Arial" w:hAnsi="Arial" w:cs="Arial"/>
        </w:rPr>
        <w:t xml:space="preserve"> </w:t>
      </w:r>
      <w:r w:rsidR="00245593" w:rsidRPr="00717819">
        <w:rPr>
          <w:rFonts w:ascii="Arial" w:hAnsi="Arial" w:cs="Arial"/>
        </w:rPr>
        <w:t>BFD/</w:t>
      </w:r>
      <w:r w:rsidRPr="00717819">
        <w:rPr>
          <w:rFonts w:ascii="Arial" w:hAnsi="Arial" w:cs="Arial"/>
        </w:rPr>
        <w:t xml:space="preserve">BFR </w:t>
      </w:r>
      <w:r w:rsidR="00245593" w:rsidRPr="00717819">
        <w:rPr>
          <w:rFonts w:ascii="Arial" w:hAnsi="Arial" w:cs="Arial"/>
        </w:rPr>
        <w:t xml:space="preserve">issue arises </w:t>
      </w:r>
      <w:r w:rsidRPr="00717819">
        <w:rPr>
          <w:rFonts w:ascii="Arial" w:hAnsi="Arial" w:cs="Arial"/>
        </w:rPr>
        <w:t>afterwards</w:t>
      </w:r>
      <w:r w:rsidR="00245593" w:rsidRPr="00717819">
        <w:rPr>
          <w:rFonts w:ascii="Arial" w:hAnsi="Arial" w:cs="Arial"/>
        </w:rPr>
        <w:t>, which could lead to additional costs.</w:t>
      </w:r>
      <w:r w:rsidR="001B72A7" w:rsidRPr="00717819">
        <w:rPr>
          <w:rFonts w:ascii="Arial" w:hAnsi="Arial" w:cs="Arial"/>
        </w:rPr>
        <w:t xml:space="preserve"> We propose that RAN3 discuss the topic of receiving FAILURE INDICATION messages where the source node has released the UE context for this LTM cell switch.</w:t>
      </w:r>
    </w:p>
    <w:p w14:paraId="38427732" w14:textId="438EE021" w:rsidR="00245593" w:rsidRPr="00717819" w:rsidRDefault="00245593" w:rsidP="00245593">
      <w:pPr>
        <w:pStyle w:val="Proposal"/>
        <w:tabs>
          <w:tab w:val="clear" w:pos="360"/>
          <w:tab w:val="clear" w:pos="1304"/>
          <w:tab w:val="num" w:pos="9243"/>
        </w:tabs>
        <w:ind w:left="1276" w:hanging="1304"/>
        <w:jc w:val="left"/>
        <w:rPr>
          <w:rFonts w:cs="Arial"/>
        </w:rPr>
      </w:pPr>
      <w:bookmarkStart w:id="12" w:name="_Toc213062270"/>
      <w:bookmarkStart w:id="13" w:name="_Toc213365970"/>
      <w:r w:rsidRPr="00410098">
        <w:t>RAN3 to</w:t>
      </w:r>
      <w:r w:rsidR="00802ADA" w:rsidRPr="00410098">
        <w:t xml:space="preserve"> discuss</w:t>
      </w:r>
      <w:r w:rsidR="00802ADA" w:rsidRPr="00717819">
        <w:t xml:space="preserve"> BFR shortly after successful LTM cell switch</w:t>
      </w:r>
      <w:r w:rsidR="00EA3DAD" w:rsidRPr="00717819">
        <w:t>,</w:t>
      </w:r>
      <w:r w:rsidR="00802ADA" w:rsidRPr="00717819">
        <w:t xml:space="preserve"> w</w:t>
      </w:r>
      <w:r w:rsidR="009E212C" w:rsidRPr="00717819">
        <w:t xml:space="preserve">hen the source </w:t>
      </w:r>
      <w:proofErr w:type="spellStart"/>
      <w:r w:rsidR="009E212C" w:rsidRPr="00717819">
        <w:t>gNB</w:t>
      </w:r>
      <w:proofErr w:type="spellEnd"/>
      <w:r w:rsidR="009E212C" w:rsidRPr="00717819">
        <w:t xml:space="preserve"> does not </w:t>
      </w:r>
      <w:r w:rsidR="000803CB" w:rsidRPr="00410098">
        <w:t>retain the UE context</w:t>
      </w:r>
      <w:r w:rsidR="00802ADA" w:rsidRPr="00410098" w:rsidDel="009E212C">
        <w:t xml:space="preserve"> </w:t>
      </w:r>
      <w:r w:rsidR="00802ADA" w:rsidRPr="00410098">
        <w:t>after successful inter-CU LTM</w:t>
      </w:r>
      <w:r w:rsidR="00242EDD" w:rsidRPr="00410098">
        <w:t xml:space="preserve"> execution.</w:t>
      </w:r>
      <w:bookmarkEnd w:id="3"/>
      <w:bookmarkEnd w:id="12"/>
      <w:bookmarkEnd w:id="13"/>
    </w:p>
    <w:p w14:paraId="2B6E7111" w14:textId="3736EF31" w:rsidR="00BD68A1" w:rsidRPr="00717819" w:rsidRDefault="00BD68A1" w:rsidP="001031A8">
      <w:pPr>
        <w:pStyle w:val="Heading2"/>
      </w:pPr>
      <w:r w:rsidRPr="00717819">
        <w:t>2</w:t>
      </w:r>
      <w:r w:rsidRPr="00717819" w:rsidDel="004C0B08">
        <w:t>.</w:t>
      </w:r>
      <w:r w:rsidR="00CA702D" w:rsidRPr="00717819">
        <w:t>4</w:t>
      </w:r>
      <w:r w:rsidR="00EA3DAD" w:rsidRPr="00717819">
        <w:tab/>
      </w:r>
      <w:r w:rsidR="00CA702D" w:rsidRPr="00717819">
        <w:t>LTM cell</w:t>
      </w:r>
      <w:r w:rsidR="00FF21FF" w:rsidRPr="00717819">
        <w:t xml:space="preserve"> </w:t>
      </w:r>
      <w:r w:rsidR="00CA702D" w:rsidRPr="00717819">
        <w:t>switch ping-pong</w:t>
      </w:r>
    </w:p>
    <w:p w14:paraId="39364F41" w14:textId="170BCE02" w:rsidR="005E43DE" w:rsidRPr="00717819" w:rsidRDefault="005E43DE" w:rsidP="005101E3">
      <w:pPr>
        <w:rPr>
          <w:rFonts w:ascii="Arial" w:hAnsi="Arial" w:cs="Arial"/>
        </w:rPr>
      </w:pPr>
      <w:r w:rsidRPr="00717819">
        <w:rPr>
          <w:rFonts w:ascii="Arial" w:hAnsi="Arial" w:cs="Arial"/>
          <w:lang w:eastAsia="zh-CN"/>
        </w:rPr>
        <w:t xml:space="preserve">In </w:t>
      </w:r>
      <w:r w:rsidR="00966528" w:rsidRPr="00717819">
        <w:rPr>
          <w:rFonts w:ascii="Arial" w:hAnsi="Arial" w:cs="Arial"/>
          <w:lang w:eastAsia="zh-CN"/>
        </w:rPr>
        <w:t xml:space="preserve">Rel-19 MRO for </w:t>
      </w:r>
      <w:r w:rsidR="00443323" w:rsidRPr="00717819">
        <w:rPr>
          <w:rFonts w:ascii="Arial" w:hAnsi="Arial" w:cs="Arial"/>
          <w:lang w:eastAsia="zh-CN"/>
        </w:rPr>
        <w:t xml:space="preserve">intra-CU </w:t>
      </w:r>
      <w:r w:rsidR="00966528" w:rsidRPr="00717819">
        <w:rPr>
          <w:rFonts w:ascii="Arial" w:hAnsi="Arial" w:cs="Arial"/>
          <w:lang w:eastAsia="zh-CN"/>
        </w:rPr>
        <w:t>LTM cell swit</w:t>
      </w:r>
      <w:r w:rsidR="00C05E08" w:rsidRPr="00717819">
        <w:rPr>
          <w:rFonts w:ascii="Arial" w:hAnsi="Arial" w:cs="Arial"/>
          <w:lang w:eastAsia="zh-CN"/>
        </w:rPr>
        <w:t>c</w:t>
      </w:r>
      <w:r w:rsidR="00966528" w:rsidRPr="00717819">
        <w:rPr>
          <w:rFonts w:ascii="Arial" w:hAnsi="Arial" w:cs="Arial"/>
          <w:lang w:eastAsia="zh-CN"/>
        </w:rPr>
        <w:t xml:space="preserve">h, </w:t>
      </w:r>
      <w:r w:rsidR="000B1026" w:rsidRPr="00717819">
        <w:rPr>
          <w:rFonts w:ascii="Arial" w:hAnsi="Arial" w:cs="Arial"/>
        </w:rPr>
        <w:t xml:space="preserve">a </w:t>
      </w:r>
      <w:r w:rsidR="00966528" w:rsidRPr="00717819">
        <w:rPr>
          <w:rFonts w:ascii="Arial" w:hAnsi="Arial" w:cs="Arial"/>
        </w:rPr>
        <w:t xml:space="preserve">CU can detect </w:t>
      </w:r>
      <w:r w:rsidR="000B1026" w:rsidRPr="00717819">
        <w:rPr>
          <w:rFonts w:ascii="Arial" w:hAnsi="Arial" w:cs="Arial"/>
        </w:rPr>
        <w:t>a</w:t>
      </w:r>
      <w:r w:rsidR="00966528" w:rsidRPr="00717819" w:rsidDel="000B1026">
        <w:rPr>
          <w:rFonts w:ascii="Arial" w:hAnsi="Arial" w:cs="Arial"/>
        </w:rPr>
        <w:t xml:space="preserve"> </w:t>
      </w:r>
      <w:r w:rsidR="00966528" w:rsidRPr="00717819">
        <w:rPr>
          <w:rFonts w:ascii="Arial" w:hAnsi="Arial" w:cs="Arial"/>
        </w:rPr>
        <w:t xml:space="preserve">potential LTM ping-pong issue based on local information and </w:t>
      </w:r>
      <w:r w:rsidR="00443323" w:rsidRPr="00717819">
        <w:rPr>
          <w:rFonts w:ascii="Arial" w:hAnsi="Arial" w:cs="Arial"/>
        </w:rPr>
        <w:t>can send</w:t>
      </w:r>
      <w:r w:rsidR="00410098">
        <w:rPr>
          <w:rFonts w:ascii="Arial" w:hAnsi="Arial" w:cs="Arial"/>
        </w:rPr>
        <w:t xml:space="preserve"> </w:t>
      </w:r>
      <w:r w:rsidR="00966528" w:rsidRPr="00717819">
        <w:rPr>
          <w:rFonts w:ascii="Arial" w:hAnsi="Arial" w:cs="Arial"/>
        </w:rPr>
        <w:t xml:space="preserve">relevant information to the DU whenever </w:t>
      </w:r>
      <w:r w:rsidR="000B1026" w:rsidRPr="00717819">
        <w:rPr>
          <w:rFonts w:ascii="Arial" w:hAnsi="Arial" w:cs="Arial"/>
        </w:rPr>
        <w:t xml:space="preserve">the </w:t>
      </w:r>
      <w:r w:rsidR="00966528" w:rsidRPr="00717819">
        <w:rPr>
          <w:rFonts w:ascii="Arial" w:hAnsi="Arial" w:cs="Arial"/>
        </w:rPr>
        <w:t>CU decides this is necessary.</w:t>
      </w:r>
      <w:r w:rsidR="00D3332B" w:rsidRPr="00717819">
        <w:rPr>
          <w:rFonts w:ascii="Arial" w:hAnsi="Arial" w:cs="Arial"/>
        </w:rPr>
        <w:t xml:space="preserve"> Currently, UHI </w:t>
      </w:r>
      <w:r w:rsidR="00242EDD" w:rsidRPr="00717819">
        <w:rPr>
          <w:rFonts w:ascii="Arial" w:hAnsi="Arial" w:cs="Arial"/>
        </w:rPr>
        <w:t xml:space="preserve">information </w:t>
      </w:r>
      <w:r w:rsidR="00D3332B" w:rsidRPr="00717819">
        <w:rPr>
          <w:rFonts w:ascii="Arial" w:hAnsi="Arial" w:cs="Arial"/>
        </w:rPr>
        <w:t xml:space="preserve">is included in HANDOVER REQUEST and RETRIEVE UE CONTEXT RESPONSE </w:t>
      </w:r>
      <w:proofErr w:type="spellStart"/>
      <w:r w:rsidR="00D3332B" w:rsidRPr="00717819">
        <w:rPr>
          <w:rFonts w:ascii="Arial" w:hAnsi="Arial" w:cs="Arial"/>
        </w:rPr>
        <w:t>XnAP</w:t>
      </w:r>
      <w:proofErr w:type="spellEnd"/>
      <w:r w:rsidR="00D3332B" w:rsidRPr="00717819">
        <w:rPr>
          <w:rFonts w:ascii="Arial" w:hAnsi="Arial" w:cs="Arial"/>
        </w:rPr>
        <w:t xml:space="preserve"> message</w:t>
      </w:r>
      <w:r w:rsidR="0089169C" w:rsidRPr="00717819">
        <w:rPr>
          <w:rFonts w:ascii="Arial" w:hAnsi="Arial" w:cs="Arial"/>
        </w:rPr>
        <w:t>s</w:t>
      </w:r>
      <w:r w:rsidR="00D3332B" w:rsidRPr="00717819">
        <w:rPr>
          <w:rFonts w:ascii="Arial" w:hAnsi="Arial" w:cs="Arial"/>
        </w:rPr>
        <w:t xml:space="preserve">. During inter-CU LTM initial preparation, the HANDOVER REQUEST with the UHI information is transmitted to all the </w:t>
      </w:r>
      <w:proofErr w:type="spellStart"/>
      <w:r w:rsidR="00D3332B" w:rsidRPr="00717819">
        <w:rPr>
          <w:rFonts w:ascii="Arial" w:hAnsi="Arial" w:cs="Arial"/>
        </w:rPr>
        <w:t>gNBs</w:t>
      </w:r>
      <w:proofErr w:type="spellEnd"/>
      <w:r w:rsidR="00D3332B" w:rsidRPr="00717819">
        <w:rPr>
          <w:rFonts w:ascii="Arial" w:hAnsi="Arial" w:cs="Arial"/>
        </w:rPr>
        <w:t xml:space="preserve"> </w:t>
      </w:r>
      <w:r w:rsidR="000B1026" w:rsidRPr="00717819">
        <w:rPr>
          <w:rFonts w:ascii="Arial" w:hAnsi="Arial" w:cs="Arial"/>
        </w:rPr>
        <w:t xml:space="preserve">that have </w:t>
      </w:r>
      <w:r w:rsidR="00D3332B" w:rsidRPr="00717819">
        <w:rPr>
          <w:rFonts w:ascii="Arial" w:hAnsi="Arial" w:cs="Arial"/>
        </w:rPr>
        <w:t xml:space="preserve">inter-CU LTM candidate cells. For </w:t>
      </w:r>
      <w:r w:rsidR="00443323" w:rsidRPr="00717819">
        <w:rPr>
          <w:rFonts w:ascii="Arial" w:hAnsi="Arial" w:cs="Arial"/>
        </w:rPr>
        <w:t xml:space="preserve">a </w:t>
      </w:r>
      <w:r w:rsidR="00D3332B" w:rsidRPr="00717819">
        <w:rPr>
          <w:rFonts w:ascii="Arial" w:hAnsi="Arial" w:cs="Arial"/>
        </w:rPr>
        <w:t xml:space="preserve">subsequent inter-CU LTM cell switch, the </w:t>
      </w:r>
      <w:proofErr w:type="spellStart"/>
      <w:r w:rsidR="00D3332B" w:rsidRPr="00717819">
        <w:rPr>
          <w:rFonts w:ascii="Arial" w:hAnsi="Arial" w:cs="Arial"/>
        </w:rPr>
        <w:t>gNBs</w:t>
      </w:r>
      <w:proofErr w:type="spellEnd"/>
      <w:r w:rsidR="00D3332B" w:rsidRPr="00717819">
        <w:rPr>
          <w:rFonts w:ascii="Arial" w:hAnsi="Arial" w:cs="Arial"/>
        </w:rPr>
        <w:t xml:space="preserve"> of the subsequent LTM candidate cell may not have </w:t>
      </w:r>
      <w:r w:rsidR="00443323" w:rsidRPr="00717819">
        <w:rPr>
          <w:rFonts w:ascii="Arial" w:hAnsi="Arial" w:cs="Arial"/>
        </w:rPr>
        <w:t xml:space="preserve">an </w:t>
      </w:r>
      <w:r w:rsidR="00D3332B" w:rsidRPr="00717819">
        <w:rPr>
          <w:rFonts w:ascii="Arial" w:hAnsi="Arial" w:cs="Arial"/>
        </w:rPr>
        <w:t xml:space="preserve">up-to-date UHI information about the cells visited by the UE after </w:t>
      </w:r>
      <w:r w:rsidR="000B1026" w:rsidRPr="00717819">
        <w:rPr>
          <w:rFonts w:ascii="Arial" w:hAnsi="Arial" w:cs="Arial"/>
        </w:rPr>
        <w:t xml:space="preserve">the </w:t>
      </w:r>
      <w:r w:rsidR="00D3332B" w:rsidRPr="00717819">
        <w:rPr>
          <w:rFonts w:ascii="Arial" w:hAnsi="Arial" w:cs="Arial"/>
        </w:rPr>
        <w:t>LTM initial preparation phase.</w:t>
      </w:r>
      <w:r w:rsidR="00242EDD" w:rsidRPr="00717819">
        <w:rPr>
          <w:rFonts w:ascii="Arial" w:hAnsi="Arial" w:cs="Arial"/>
        </w:rPr>
        <w:t xml:space="preserve"> Without this up-to-date UHI information, the involving CU may not be able to detect </w:t>
      </w:r>
      <w:r w:rsidR="000B1026" w:rsidRPr="00717819">
        <w:rPr>
          <w:rFonts w:ascii="Arial" w:hAnsi="Arial" w:cs="Arial"/>
        </w:rPr>
        <w:t xml:space="preserve">a </w:t>
      </w:r>
      <w:r w:rsidR="00242EDD" w:rsidRPr="00717819">
        <w:rPr>
          <w:rFonts w:ascii="Arial" w:hAnsi="Arial" w:cs="Arial"/>
        </w:rPr>
        <w:t xml:space="preserve">potential LTM ping-pong issue, and </w:t>
      </w:r>
      <w:r w:rsidR="00443323" w:rsidRPr="00717819">
        <w:rPr>
          <w:rFonts w:ascii="Arial" w:hAnsi="Arial" w:cs="Arial"/>
        </w:rPr>
        <w:t xml:space="preserve">may </w:t>
      </w:r>
      <w:r w:rsidR="00242EDD" w:rsidRPr="00717819">
        <w:rPr>
          <w:rFonts w:ascii="Arial" w:hAnsi="Arial" w:cs="Arial"/>
        </w:rPr>
        <w:t>not be able to send the last consecutive LTM cell switch entries from the UHI to the related DU.</w:t>
      </w:r>
    </w:p>
    <w:p w14:paraId="60E10A65" w14:textId="5666F4DC" w:rsidR="005409CA" w:rsidRPr="00717819" w:rsidRDefault="000B1026" w:rsidP="005101E3">
      <w:pPr>
        <w:pStyle w:val="Observation"/>
        <w:numPr>
          <w:ilvl w:val="0"/>
          <w:numId w:val="25"/>
        </w:numPr>
        <w:ind w:left="1701" w:hanging="1701"/>
        <w:rPr>
          <w:rFonts w:cs="Arial"/>
          <w:lang w:eastAsia="zh-CN"/>
        </w:rPr>
      </w:pPr>
      <w:bookmarkStart w:id="14" w:name="_Toc197606075"/>
      <w:bookmarkStart w:id="15" w:name="_Toc209700095"/>
      <w:bookmarkStart w:id="16" w:name="_Toc213062266"/>
      <w:bookmarkStart w:id="17" w:name="_Toc213365963"/>
      <w:r w:rsidRPr="00717819">
        <w:t xml:space="preserve">A </w:t>
      </w:r>
      <w:r w:rsidR="00D3332B" w:rsidRPr="00717819">
        <w:t xml:space="preserve">candidate </w:t>
      </w:r>
      <w:proofErr w:type="spellStart"/>
      <w:r w:rsidR="00D3332B" w:rsidRPr="00717819">
        <w:t>gNB</w:t>
      </w:r>
      <w:proofErr w:type="spellEnd"/>
      <w:r w:rsidR="00D3332B" w:rsidRPr="00717819">
        <w:t xml:space="preserve"> for Inter-CU LTM</w:t>
      </w:r>
      <w:bookmarkEnd w:id="14"/>
      <w:bookmarkEnd w:id="15"/>
      <w:r w:rsidR="00D3332B" w:rsidRPr="00717819">
        <w:t xml:space="preserve"> may </w:t>
      </w:r>
      <w:r w:rsidR="00743122" w:rsidRPr="00717819">
        <w:t>lack</w:t>
      </w:r>
      <w:r w:rsidR="00D3332B" w:rsidRPr="00717819">
        <w:t xml:space="preserve"> </w:t>
      </w:r>
      <w:r w:rsidR="00D3332B" w:rsidRPr="00717819">
        <w:rPr>
          <w:rFonts w:cs="Arial"/>
        </w:rPr>
        <w:t>up-to-date UHI information after LTM initial preparation phase.</w:t>
      </w:r>
      <w:bookmarkEnd w:id="16"/>
      <w:bookmarkEnd w:id="17"/>
    </w:p>
    <w:p w14:paraId="0D57998A" w14:textId="4B70392C" w:rsidR="005409CA" w:rsidRPr="00717819" w:rsidRDefault="005409CA" w:rsidP="005101E3">
      <w:pPr>
        <w:rPr>
          <w:rFonts w:ascii="Arial" w:hAnsi="Arial" w:cs="Arial"/>
          <w:lang w:eastAsia="zh-CN"/>
        </w:rPr>
      </w:pPr>
      <w:r w:rsidRPr="00717819">
        <w:rPr>
          <w:rFonts w:ascii="Arial" w:hAnsi="Arial" w:cs="Arial"/>
          <w:lang w:eastAsia="zh-CN"/>
        </w:rPr>
        <w:t xml:space="preserve">In order to leverage the Rel-19 MRO solution for LTM cell switch ping-pong, RAN3 should discuss and agree on whether and in what way inter-CU LTM candidate </w:t>
      </w:r>
      <w:proofErr w:type="spellStart"/>
      <w:r w:rsidRPr="00717819">
        <w:rPr>
          <w:rFonts w:ascii="Arial" w:hAnsi="Arial" w:cs="Arial"/>
          <w:lang w:eastAsia="zh-CN"/>
        </w:rPr>
        <w:t>gNBs</w:t>
      </w:r>
      <w:proofErr w:type="spellEnd"/>
      <w:r w:rsidRPr="00717819">
        <w:rPr>
          <w:rFonts w:ascii="Arial" w:hAnsi="Arial" w:cs="Arial"/>
          <w:lang w:eastAsia="zh-CN"/>
        </w:rPr>
        <w:t xml:space="preserve"> can be provided with</w:t>
      </w:r>
      <w:r w:rsidRPr="00717819" w:rsidDel="000B1026">
        <w:rPr>
          <w:rFonts w:ascii="Arial" w:hAnsi="Arial" w:cs="Arial"/>
          <w:lang w:eastAsia="zh-CN"/>
        </w:rPr>
        <w:t xml:space="preserve"> </w:t>
      </w:r>
      <w:r w:rsidRPr="00717819">
        <w:rPr>
          <w:rFonts w:ascii="Arial" w:hAnsi="Arial" w:cs="Arial"/>
        </w:rPr>
        <w:t xml:space="preserve">up-to-date UHI </w:t>
      </w:r>
      <w:r w:rsidRPr="00717819">
        <w:rPr>
          <w:rFonts w:ascii="Arial" w:hAnsi="Arial" w:cs="Arial"/>
          <w:lang w:eastAsia="zh-CN"/>
        </w:rPr>
        <w:t>information.</w:t>
      </w:r>
      <w:r w:rsidR="00403302" w:rsidRPr="00717819">
        <w:rPr>
          <w:rFonts w:ascii="Arial" w:hAnsi="Arial" w:cs="Arial"/>
          <w:lang w:eastAsia="zh-CN"/>
        </w:rPr>
        <w:t xml:space="preserve"> </w:t>
      </w:r>
    </w:p>
    <w:p w14:paraId="6089A8B2" w14:textId="70010A4D" w:rsidR="004B69DE" w:rsidRPr="00717819" w:rsidRDefault="00DF37BC" w:rsidP="005D4C64">
      <w:pPr>
        <w:pStyle w:val="Proposal"/>
        <w:tabs>
          <w:tab w:val="clear" w:pos="360"/>
          <w:tab w:val="clear" w:pos="1304"/>
          <w:tab w:val="num" w:pos="9243"/>
        </w:tabs>
        <w:ind w:left="1276" w:hanging="1304"/>
        <w:jc w:val="left"/>
        <w:rPr>
          <w:rFonts w:cs="Arial"/>
        </w:rPr>
      </w:pPr>
      <w:bookmarkStart w:id="18" w:name="_Toc210338819"/>
      <w:bookmarkStart w:id="19" w:name="_Toc213062271"/>
      <w:bookmarkStart w:id="20" w:name="_Toc213365971"/>
      <w:r w:rsidRPr="00410098">
        <w:t xml:space="preserve">RAN3 to </w:t>
      </w:r>
      <w:r w:rsidR="00A06905" w:rsidRPr="00410098">
        <w:t>discuss</w:t>
      </w:r>
      <w:r w:rsidR="00A06905" w:rsidRPr="00717819">
        <w:t xml:space="preserve"> whether and how </w:t>
      </w:r>
      <w:r w:rsidR="00A06905" w:rsidRPr="00717819">
        <w:rPr>
          <w:rFonts w:cs="Arial"/>
        </w:rPr>
        <w:t xml:space="preserve">inter-CU LTM candidate </w:t>
      </w:r>
      <w:proofErr w:type="spellStart"/>
      <w:r w:rsidR="00A06905" w:rsidRPr="00717819">
        <w:rPr>
          <w:rFonts w:cs="Arial"/>
        </w:rPr>
        <w:t>gNBs</w:t>
      </w:r>
      <w:proofErr w:type="spellEnd"/>
      <w:r w:rsidR="00A06905" w:rsidRPr="00717819">
        <w:rPr>
          <w:rFonts w:cs="Arial"/>
        </w:rPr>
        <w:t xml:space="preserve"> can be provided with up-to-date UHI information</w:t>
      </w:r>
      <w:r w:rsidRPr="00410098">
        <w:t>.</w:t>
      </w:r>
      <w:bookmarkEnd w:id="18"/>
      <w:bookmarkEnd w:id="19"/>
      <w:bookmarkEnd w:id="20"/>
    </w:p>
    <w:p w14:paraId="0D49C9A7" w14:textId="3390469D" w:rsidR="00D34F4F" w:rsidRPr="00717819" w:rsidRDefault="00D34F4F" w:rsidP="00D34F4F">
      <w:pPr>
        <w:pStyle w:val="Heading2"/>
      </w:pPr>
      <w:r w:rsidRPr="00717819">
        <w:t>2.5</w:t>
      </w:r>
      <w:r w:rsidRPr="00717819">
        <w:tab/>
      </w:r>
      <w:r w:rsidR="00416B0F" w:rsidRPr="00717819">
        <w:t>Too early cell switch, too late cell switch, and cell switch to wrong cell</w:t>
      </w:r>
    </w:p>
    <w:p w14:paraId="206D2F20" w14:textId="3CE4E8F4" w:rsidR="00416B0F" w:rsidRPr="00410098" w:rsidRDefault="00416B0F" w:rsidP="00FA5ECB">
      <w:pPr>
        <w:rPr>
          <w:rFonts w:ascii="Arial" w:hAnsi="Arial" w:cs="Arial"/>
          <w:lang w:eastAsia="zh-CN"/>
        </w:rPr>
      </w:pPr>
      <w:r w:rsidRPr="00410098">
        <w:rPr>
          <w:rFonts w:ascii="Arial" w:hAnsi="Arial" w:cs="Arial"/>
          <w:lang w:eastAsia="zh-CN"/>
        </w:rPr>
        <w:t>In Rel-19 MRO for intra-CU LTM cell switch, there are provisions for sending information about the failure cases:</w:t>
      </w:r>
    </w:p>
    <w:p w14:paraId="203D88DB" w14:textId="6B32E305" w:rsidR="00416B0F" w:rsidRPr="00410098" w:rsidRDefault="00416B0F" w:rsidP="00EF102E">
      <w:pPr>
        <w:pStyle w:val="ListParagraph"/>
        <w:numPr>
          <w:ilvl w:val="0"/>
          <w:numId w:val="27"/>
        </w:numPr>
        <w:rPr>
          <w:rFonts w:ascii="Arial" w:hAnsi="Arial" w:cs="Arial"/>
          <w:lang w:eastAsia="zh-CN"/>
        </w:rPr>
      </w:pPr>
      <w:r w:rsidRPr="00410098">
        <w:rPr>
          <w:rFonts w:ascii="Arial" w:hAnsi="Arial" w:cs="Arial"/>
          <w:lang w:eastAsia="zh-CN"/>
        </w:rPr>
        <w:t>Too early cell switch</w:t>
      </w:r>
    </w:p>
    <w:p w14:paraId="48902F9B" w14:textId="2F9C22D3" w:rsidR="00416B0F" w:rsidRPr="00410098" w:rsidRDefault="00416B0F" w:rsidP="00EF102E">
      <w:pPr>
        <w:pStyle w:val="ListParagraph"/>
        <w:numPr>
          <w:ilvl w:val="0"/>
          <w:numId w:val="27"/>
        </w:numPr>
        <w:rPr>
          <w:rFonts w:ascii="Arial" w:hAnsi="Arial" w:cs="Arial"/>
          <w:lang w:eastAsia="zh-CN"/>
        </w:rPr>
      </w:pPr>
      <w:r w:rsidRPr="00410098">
        <w:rPr>
          <w:rFonts w:ascii="Arial" w:hAnsi="Arial" w:cs="Arial"/>
          <w:lang w:eastAsia="zh-CN"/>
        </w:rPr>
        <w:t>Too late cell switch</w:t>
      </w:r>
    </w:p>
    <w:p w14:paraId="46C3CD1F" w14:textId="4E16201C" w:rsidR="00FA5ECB" w:rsidRPr="00410098" w:rsidRDefault="00416B0F" w:rsidP="00EF102E">
      <w:pPr>
        <w:pStyle w:val="ListParagraph"/>
        <w:numPr>
          <w:ilvl w:val="0"/>
          <w:numId w:val="27"/>
        </w:numPr>
        <w:rPr>
          <w:rFonts w:ascii="Arial" w:hAnsi="Arial" w:cs="Arial"/>
          <w:lang w:eastAsia="zh-CN"/>
        </w:rPr>
      </w:pPr>
      <w:r w:rsidRPr="00410098">
        <w:rPr>
          <w:rFonts w:ascii="Arial" w:hAnsi="Arial" w:cs="Arial"/>
          <w:lang w:eastAsia="zh-CN"/>
        </w:rPr>
        <w:t>Cell switch to wrong cell</w:t>
      </w:r>
    </w:p>
    <w:p w14:paraId="78F09BA6" w14:textId="77777777" w:rsidR="00601360" w:rsidRDefault="00F65B88" w:rsidP="00FA5ECB">
      <w:pPr>
        <w:rPr>
          <w:rFonts w:ascii="Arial" w:hAnsi="Arial" w:cs="Arial"/>
          <w:lang w:eastAsia="zh-CN"/>
        </w:rPr>
      </w:pPr>
      <w:r w:rsidRPr="00410098">
        <w:rPr>
          <w:rFonts w:ascii="Arial" w:hAnsi="Arial" w:cs="Arial"/>
          <w:lang w:eastAsia="zh-CN"/>
        </w:rPr>
        <w:t xml:space="preserve">For intra-CU LTM, RAN3 developed a solution using the F1 message ACCESS AND MOBILITY INDICATION for </w:t>
      </w:r>
      <w:r w:rsidR="00F6595B" w:rsidRPr="00F6595B">
        <w:rPr>
          <w:rFonts w:ascii="Arial" w:hAnsi="Arial" w:cs="Arial"/>
          <w:lang w:eastAsia="zh-CN"/>
        </w:rPr>
        <w:t>transferring</w:t>
      </w:r>
      <w:r w:rsidRPr="00410098">
        <w:rPr>
          <w:rFonts w:ascii="Arial" w:hAnsi="Arial" w:cs="Arial"/>
          <w:lang w:eastAsia="zh-CN"/>
        </w:rPr>
        <w:t xml:space="preserve"> </w:t>
      </w:r>
      <w:r w:rsidR="00F6595B" w:rsidRPr="00F6595B">
        <w:rPr>
          <w:rFonts w:ascii="Arial" w:hAnsi="Arial" w:cs="Arial"/>
          <w:lang w:eastAsia="zh-CN"/>
        </w:rPr>
        <w:t>information</w:t>
      </w:r>
      <w:r w:rsidRPr="00410098">
        <w:rPr>
          <w:rFonts w:ascii="Arial" w:hAnsi="Arial" w:cs="Arial"/>
          <w:lang w:eastAsia="zh-CN"/>
        </w:rPr>
        <w:t xml:space="preserve"> about these failure cases from CU to DU. For inter-CU LTM, RAN3 needs to develop a </w:t>
      </w:r>
      <w:r w:rsidR="00F6595B" w:rsidRPr="00F6595B">
        <w:rPr>
          <w:rFonts w:ascii="Arial" w:hAnsi="Arial" w:cs="Arial"/>
          <w:lang w:eastAsia="zh-CN"/>
        </w:rPr>
        <w:t>solution</w:t>
      </w:r>
      <w:r w:rsidRPr="00410098">
        <w:rPr>
          <w:rFonts w:ascii="Arial" w:hAnsi="Arial" w:cs="Arial"/>
          <w:lang w:eastAsia="zh-CN"/>
        </w:rPr>
        <w:t xml:space="preserve"> for </w:t>
      </w:r>
      <w:r w:rsidR="007147ED">
        <w:rPr>
          <w:rFonts w:ascii="Arial" w:hAnsi="Arial" w:cs="Arial"/>
          <w:lang w:eastAsia="zh-CN"/>
        </w:rPr>
        <w:t xml:space="preserve">transferring that information over </w:t>
      </w:r>
      <w:proofErr w:type="spellStart"/>
      <w:r w:rsidRPr="00410098">
        <w:rPr>
          <w:rFonts w:ascii="Arial" w:hAnsi="Arial" w:cs="Arial"/>
          <w:lang w:eastAsia="zh-CN"/>
        </w:rPr>
        <w:t>Xn</w:t>
      </w:r>
      <w:proofErr w:type="spellEnd"/>
      <w:r w:rsidRPr="00410098">
        <w:rPr>
          <w:rFonts w:ascii="Arial" w:hAnsi="Arial" w:cs="Arial"/>
          <w:lang w:eastAsia="zh-CN"/>
        </w:rPr>
        <w:t xml:space="preserve">. </w:t>
      </w:r>
    </w:p>
    <w:p w14:paraId="1D035475" w14:textId="511CFA02" w:rsidR="00717819" w:rsidRPr="00410098" w:rsidRDefault="002E77B3" w:rsidP="00FA5ECB">
      <w:pPr>
        <w:rPr>
          <w:rFonts w:ascii="Arial" w:hAnsi="Arial" w:cs="Arial"/>
          <w:lang w:eastAsia="zh-CN"/>
        </w:rPr>
      </w:pPr>
      <w:r>
        <w:rPr>
          <w:rFonts w:ascii="Arial" w:hAnsi="Arial" w:cs="Arial"/>
          <w:lang w:eastAsia="zh-CN"/>
        </w:rPr>
        <w:t xml:space="preserve">For legacy handover reporting over </w:t>
      </w:r>
      <w:proofErr w:type="spellStart"/>
      <w:r>
        <w:rPr>
          <w:rFonts w:ascii="Arial" w:hAnsi="Arial" w:cs="Arial"/>
          <w:lang w:eastAsia="zh-CN"/>
        </w:rPr>
        <w:t>Xn</w:t>
      </w:r>
      <w:proofErr w:type="spellEnd"/>
      <w:r>
        <w:rPr>
          <w:rFonts w:ascii="Arial" w:hAnsi="Arial" w:cs="Arial"/>
          <w:lang w:eastAsia="zh-CN"/>
        </w:rPr>
        <w:t>, the FAILURE INDICATION and HANDOVER REPORT messages are used. We propose to reuse these messages the same way as for legacy handover.</w:t>
      </w:r>
    </w:p>
    <w:p w14:paraId="41DFD57E" w14:textId="539215F8" w:rsidR="00F65B88" w:rsidRPr="00410098" w:rsidRDefault="00F65B88" w:rsidP="00F65B88">
      <w:pPr>
        <w:pStyle w:val="Proposal"/>
        <w:tabs>
          <w:tab w:val="clear" w:pos="360"/>
          <w:tab w:val="clear" w:pos="1304"/>
          <w:tab w:val="num" w:pos="9243"/>
        </w:tabs>
        <w:ind w:left="1276" w:hanging="1304"/>
        <w:jc w:val="left"/>
        <w:rPr>
          <w:rFonts w:cs="Arial"/>
        </w:rPr>
      </w:pPr>
      <w:bookmarkStart w:id="21" w:name="_Toc213365972"/>
      <w:r w:rsidRPr="00410098">
        <w:t xml:space="preserve">Use </w:t>
      </w:r>
      <w:r w:rsidR="00F9784E" w:rsidRPr="00410098">
        <w:t>FAILURE INDIC</w:t>
      </w:r>
      <w:r w:rsidR="00717819">
        <w:t>A</w:t>
      </w:r>
      <w:r w:rsidR="00F9784E" w:rsidRPr="00410098">
        <w:t>TION</w:t>
      </w:r>
      <w:r w:rsidRPr="00410098">
        <w:t xml:space="preserve"> </w:t>
      </w:r>
      <w:r w:rsidR="002E77B3">
        <w:t xml:space="preserve">and HANDOVER REPORT </w:t>
      </w:r>
      <w:proofErr w:type="spellStart"/>
      <w:r w:rsidRPr="00410098">
        <w:t>XnAP</w:t>
      </w:r>
      <w:proofErr w:type="spellEnd"/>
      <w:r w:rsidRPr="00410098">
        <w:t xml:space="preserve"> message</w:t>
      </w:r>
      <w:r w:rsidR="002E77B3">
        <w:t>s</w:t>
      </w:r>
      <w:r w:rsidRPr="00410098">
        <w:t xml:space="preserve"> to transfer failure</w:t>
      </w:r>
      <w:r w:rsidR="007147ED">
        <w:t xml:space="preserve"> information for too early cell switch, too late cell switch, and cell switch to wrong cell</w:t>
      </w:r>
      <w:r w:rsidRPr="00410098">
        <w:t>.</w:t>
      </w:r>
      <w:bookmarkEnd w:id="21"/>
    </w:p>
    <w:p w14:paraId="2271B2F1" w14:textId="77777777" w:rsidR="00D34F4F" w:rsidRPr="00244DD5" w:rsidRDefault="00D34F4F" w:rsidP="00D34F4F">
      <w:pPr>
        <w:rPr>
          <w:rFonts w:ascii="Arial" w:hAnsi="Arial" w:cs="Arial"/>
          <w:lang w:eastAsia="zh-CN"/>
        </w:rPr>
      </w:pPr>
    </w:p>
    <w:p w14:paraId="57E51883" w14:textId="77777777" w:rsidR="00AA739C" w:rsidRPr="00717819" w:rsidRDefault="00F04E7F" w:rsidP="00474F4D">
      <w:pPr>
        <w:pStyle w:val="Heading1"/>
      </w:pPr>
      <w:r w:rsidRPr="00717819">
        <w:lastRenderedPageBreak/>
        <w:t>3</w:t>
      </w:r>
      <w:r w:rsidR="00AA739C" w:rsidRPr="00717819">
        <w:tab/>
        <w:t>Conclusion</w:t>
      </w:r>
    </w:p>
    <w:p w14:paraId="06EAC0DA" w14:textId="77777777" w:rsidR="00D020C3" w:rsidRPr="00717819" w:rsidRDefault="00D020C3" w:rsidP="00D020C3">
      <w:pPr>
        <w:pStyle w:val="Discussion"/>
      </w:pPr>
      <w:r w:rsidRPr="00717819">
        <w:t xml:space="preserve">In the previous sections we made the following observations: </w:t>
      </w:r>
    </w:p>
    <w:p w14:paraId="20758A2A" w14:textId="77777777" w:rsidR="00814791" w:rsidRDefault="00D020C3">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13365962" w:history="1">
        <w:r w:rsidR="00814791" w:rsidRPr="00BB5BC0">
          <w:rPr>
            <w:rStyle w:val="Hyperlink"/>
            <w:rFonts w:cs="Arial"/>
            <w:noProof/>
          </w:rPr>
          <w:t>Observation 1</w:t>
        </w:r>
        <w:r w:rsidR="00814791">
          <w:rPr>
            <w:rFonts w:asciiTheme="minorHAnsi" w:eastAsiaTheme="minorEastAsia" w:hAnsiTheme="minorHAnsi" w:cstheme="minorBidi"/>
            <w:b w:val="0"/>
            <w:noProof/>
            <w:kern w:val="2"/>
            <w:sz w:val="24"/>
            <w:szCs w:val="24"/>
            <w:lang w:val="en-US" w:eastAsia="en-US"/>
            <w14:ligatures w14:val="standardContextual"/>
          </w:rPr>
          <w:tab/>
        </w:r>
        <w:r w:rsidR="00814791" w:rsidRPr="00BB5BC0">
          <w:rPr>
            <w:rStyle w:val="Hyperlink"/>
            <w:noProof/>
          </w:rPr>
          <w:t>The current definition and detection of connection failure in TS 38.300 is applicable to inter-CU LTM.</w:t>
        </w:r>
      </w:hyperlink>
    </w:p>
    <w:p w14:paraId="58423DBB" w14:textId="77777777" w:rsidR="00814791" w:rsidRDefault="00814791">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63" w:history="1">
        <w:r w:rsidRPr="00BB5BC0">
          <w:rPr>
            <w:rStyle w:val="Hyperlink"/>
            <w:rFonts w:cs="Arial"/>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BB5BC0">
          <w:rPr>
            <w:rStyle w:val="Hyperlink"/>
            <w:noProof/>
          </w:rPr>
          <w:t xml:space="preserve">A candidate gNB for Inter-CU LTM may lack </w:t>
        </w:r>
        <w:r w:rsidRPr="00BB5BC0">
          <w:rPr>
            <w:rStyle w:val="Hyperlink"/>
            <w:rFonts w:cs="Arial"/>
            <w:noProof/>
          </w:rPr>
          <w:t>up-to-date UHI information after LTM initial preparation phase.</w:t>
        </w:r>
      </w:hyperlink>
    </w:p>
    <w:p w14:paraId="3F3BD1A9" w14:textId="00470BEC" w:rsidR="00D020C3" w:rsidRPr="00717819" w:rsidRDefault="00D020C3" w:rsidP="00814791">
      <w:pPr>
        <w:pStyle w:val="TableofFigures"/>
        <w:tabs>
          <w:tab w:val="right" w:leader="dot" w:pos="9629"/>
        </w:tabs>
      </w:pPr>
      <w:r w:rsidRPr="00717819">
        <w:rPr>
          <w:b w:val="0"/>
        </w:rPr>
        <w:fldChar w:fldCharType="end"/>
      </w:r>
    </w:p>
    <w:p w14:paraId="4E587012" w14:textId="0B2255A2" w:rsidR="00CB47A0" w:rsidRPr="00717819" w:rsidRDefault="00CB47A0" w:rsidP="00CB47A0">
      <w:pPr>
        <w:pStyle w:val="BodyText"/>
        <w:keepNext/>
        <w:rPr>
          <w:rFonts w:ascii="Arial" w:hAnsi="Arial" w:cs="Arial"/>
        </w:rPr>
      </w:pPr>
      <w:r w:rsidRPr="00717819">
        <w:rPr>
          <w:rFonts w:ascii="Arial" w:hAnsi="Arial" w:cs="Arial"/>
        </w:rPr>
        <w:t>Based on the discussion in the previous sections we propose the following:</w:t>
      </w:r>
    </w:p>
    <w:bookmarkEnd w:id="0"/>
    <w:p w14:paraId="347427D3" w14:textId="77777777" w:rsidR="00814791" w:rsidRDefault="00CB47A0">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717819">
        <w:rPr>
          <w:b w:val="0"/>
          <w:bCs/>
        </w:rPr>
        <w:fldChar w:fldCharType="begin"/>
      </w:r>
      <w:r w:rsidRPr="00717819">
        <w:rPr>
          <w:bCs/>
        </w:rPr>
        <w:instrText xml:space="preserve"> TOC \n \h \z \t "Proposal" \c </w:instrText>
      </w:r>
      <w:r w:rsidRPr="00717819">
        <w:rPr>
          <w:b w:val="0"/>
          <w:bCs/>
        </w:rPr>
        <w:fldChar w:fldCharType="separate"/>
      </w:r>
      <w:hyperlink w:anchor="_Toc213365967" w:history="1">
        <w:r w:rsidR="00814791" w:rsidRPr="00B657CD">
          <w:rPr>
            <w:rStyle w:val="Hyperlink"/>
            <w:rFonts w:cs="Arial"/>
            <w:noProof/>
          </w:rPr>
          <w:t>Proposal 1</w:t>
        </w:r>
        <w:r w:rsidR="00814791">
          <w:rPr>
            <w:rFonts w:asciiTheme="minorHAnsi" w:eastAsiaTheme="minorEastAsia" w:hAnsiTheme="minorHAnsi" w:cstheme="minorBidi"/>
            <w:b w:val="0"/>
            <w:noProof/>
            <w:kern w:val="2"/>
            <w:sz w:val="24"/>
            <w:szCs w:val="24"/>
            <w:lang w:val="en-US" w:eastAsia="en-US"/>
            <w14:ligatures w14:val="standardContextual"/>
          </w:rPr>
          <w:tab/>
        </w:r>
        <w:r w:rsidR="00814791" w:rsidRPr="00B657CD">
          <w:rPr>
            <w:rStyle w:val="Hyperlink"/>
            <w:noProof/>
          </w:rPr>
          <w:t>No modification is needed for stage 2 description on definition and detection of inter-CU LTM related connection failures.</w:t>
        </w:r>
      </w:hyperlink>
    </w:p>
    <w:p w14:paraId="67289507" w14:textId="77777777" w:rsidR="00814791" w:rsidRDefault="008147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68" w:history="1">
        <w:r w:rsidRPr="00B657CD">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B657CD">
          <w:rPr>
            <w:rStyle w:val="Hyperlink"/>
            <w:noProof/>
          </w:rPr>
          <w:t>Use FAILURE INDICATION XnAP message to transmit beam and TA information for failure due to wrong beam and outdated TA.</w:t>
        </w:r>
      </w:hyperlink>
    </w:p>
    <w:p w14:paraId="1AEA2368" w14:textId="77777777" w:rsidR="00814791" w:rsidRDefault="008147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69" w:history="1">
        <w:r w:rsidRPr="00B657CD">
          <w:rPr>
            <w:rStyle w:val="Hyperlink"/>
            <w:rFonts w:cs="Arial"/>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B657CD">
          <w:rPr>
            <w:rStyle w:val="Hyperlink"/>
            <w:noProof/>
          </w:rPr>
          <w:t>Use FAILURE INDICATION XnAP message to transmit the recovery beam information for BFD/BFR shortly after successful LTM cell switch.</w:t>
        </w:r>
      </w:hyperlink>
    </w:p>
    <w:p w14:paraId="235D1BE8" w14:textId="77777777" w:rsidR="00814791" w:rsidRDefault="008147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70" w:history="1">
        <w:r w:rsidRPr="00B657CD">
          <w:rPr>
            <w:rStyle w:val="Hyperlink"/>
            <w:rFonts w:cs="Arial"/>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B657CD">
          <w:rPr>
            <w:rStyle w:val="Hyperlink"/>
            <w:noProof/>
          </w:rPr>
          <w:t>RAN3 to discuss BFR shortly after successful LTM cell switch, when the source gNB does not retain the UE context after successful inter-CU LTM execution.</w:t>
        </w:r>
      </w:hyperlink>
    </w:p>
    <w:p w14:paraId="460465ED" w14:textId="77777777" w:rsidR="00814791" w:rsidRDefault="008147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71" w:history="1">
        <w:r w:rsidRPr="00B657CD">
          <w:rPr>
            <w:rStyle w:val="Hyperlink"/>
            <w:rFonts w:cs="Arial"/>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B657CD">
          <w:rPr>
            <w:rStyle w:val="Hyperlink"/>
            <w:noProof/>
          </w:rPr>
          <w:t xml:space="preserve">RAN3 to discuss whether and how </w:t>
        </w:r>
        <w:r w:rsidRPr="00B657CD">
          <w:rPr>
            <w:rStyle w:val="Hyperlink"/>
            <w:rFonts w:cs="Arial"/>
            <w:noProof/>
          </w:rPr>
          <w:t>inter-CU LTM candidate gNBs can be provided with up-to-date UHI information</w:t>
        </w:r>
        <w:r w:rsidRPr="00B657CD">
          <w:rPr>
            <w:rStyle w:val="Hyperlink"/>
            <w:noProof/>
          </w:rPr>
          <w:t>.</w:t>
        </w:r>
      </w:hyperlink>
    </w:p>
    <w:p w14:paraId="31C71C5A" w14:textId="77777777" w:rsidR="00814791" w:rsidRDefault="008147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13365972" w:history="1">
        <w:r w:rsidRPr="00B657CD">
          <w:rPr>
            <w:rStyle w:val="Hyperlink"/>
            <w:rFonts w:cs="Arial"/>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B657CD">
          <w:rPr>
            <w:rStyle w:val="Hyperlink"/>
            <w:noProof/>
          </w:rPr>
          <w:t>Use FAILURE INDICATION and HANDOVER REPORT XnAP messages to transfer failure information for too early cell switch, too late cell switch, and cell switch to wrong cell.</w:t>
        </w:r>
      </w:hyperlink>
    </w:p>
    <w:p w14:paraId="06C3E07B" w14:textId="3E9767B6" w:rsidR="00B926B3" w:rsidRPr="00410098" w:rsidRDefault="00CB47A0" w:rsidP="00B926B3">
      <w:pPr>
        <w:pStyle w:val="Proposal"/>
        <w:numPr>
          <w:ilvl w:val="0"/>
          <w:numId w:val="0"/>
        </w:numPr>
        <w:tabs>
          <w:tab w:val="clear" w:pos="2580"/>
        </w:tabs>
        <w:jc w:val="left"/>
        <w:rPr>
          <w:rFonts w:cs="Arial"/>
        </w:rPr>
      </w:pPr>
      <w:r w:rsidRPr="00717819">
        <w:rPr>
          <w:b w:val="0"/>
          <w:bCs w:val="0"/>
        </w:rPr>
        <w:fldChar w:fldCharType="end"/>
      </w:r>
    </w:p>
    <w:p w14:paraId="11711BE7" w14:textId="23878216" w:rsidR="00C835AA" w:rsidRPr="00717819" w:rsidRDefault="00C835AA" w:rsidP="00D020C3">
      <w:pPr>
        <w:pStyle w:val="Discussion"/>
        <w:rPr>
          <w:b/>
        </w:rPr>
      </w:pPr>
    </w:p>
    <w:sectPr w:rsidR="00C835AA" w:rsidRPr="00717819" w:rsidSect="00C41EE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30AC" w14:textId="77777777" w:rsidR="0058168A" w:rsidRPr="00717819" w:rsidRDefault="0058168A">
      <w:r w:rsidRPr="00717819">
        <w:separator/>
      </w:r>
    </w:p>
  </w:endnote>
  <w:endnote w:type="continuationSeparator" w:id="0">
    <w:p w14:paraId="346C024E" w14:textId="77777777" w:rsidR="0058168A" w:rsidRPr="00717819" w:rsidRDefault="0058168A">
      <w:r w:rsidRPr="007178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F611" w14:textId="77777777" w:rsidR="0058168A" w:rsidRPr="00717819" w:rsidRDefault="0058168A">
      <w:r w:rsidRPr="00717819">
        <w:separator/>
      </w:r>
    </w:p>
  </w:footnote>
  <w:footnote w:type="continuationSeparator" w:id="0">
    <w:p w14:paraId="2825716F" w14:textId="77777777" w:rsidR="0058168A" w:rsidRPr="00717819" w:rsidRDefault="0058168A">
      <w:r w:rsidRPr="0071781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Pr="00A9347E" w:rsidRDefault="00695808">
    <w:pPr>
      <w:pStyle w:val="Header"/>
      <w:tabs>
        <w:tab w:val="right" w:pos="9639"/>
      </w:tabs>
      <w:rPr>
        <w:noProof w:val="0"/>
      </w:rPr>
    </w:pPr>
    <w:r w:rsidRPr="00A9347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pStyle w:val="Observation"/>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E82300"/>
    <w:multiLevelType w:val="hybridMultilevel"/>
    <w:tmpl w:val="E7D436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4"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0E5009"/>
    <w:multiLevelType w:val="hybridMultilevel"/>
    <w:tmpl w:val="73701B24"/>
    <w:lvl w:ilvl="0" w:tplc="A0C8B90E">
      <w:start w:val="1"/>
      <w:numFmt w:val="bullet"/>
      <w:lvlText w:val="–"/>
      <w:lvlJc w:val="left"/>
      <w:pPr>
        <w:tabs>
          <w:tab w:val="num" w:pos="720"/>
        </w:tabs>
        <w:ind w:left="720" w:hanging="360"/>
      </w:pPr>
      <w:rPr>
        <w:rFonts w:ascii="Ericsson Hilda" w:hAnsi="Ericsson Hilda" w:hint="default"/>
      </w:rPr>
    </w:lvl>
    <w:lvl w:ilvl="1" w:tplc="ECECCBB0">
      <w:start w:val="1"/>
      <w:numFmt w:val="bullet"/>
      <w:lvlText w:val="–"/>
      <w:lvlJc w:val="left"/>
      <w:pPr>
        <w:tabs>
          <w:tab w:val="num" w:pos="1440"/>
        </w:tabs>
        <w:ind w:left="1440" w:hanging="360"/>
      </w:pPr>
      <w:rPr>
        <w:rFonts w:ascii="Ericsson Hilda" w:hAnsi="Ericsson Hilda" w:hint="default"/>
      </w:rPr>
    </w:lvl>
    <w:lvl w:ilvl="2" w:tplc="A268D932">
      <w:start w:val="1"/>
      <w:numFmt w:val="bullet"/>
      <w:lvlText w:val="–"/>
      <w:lvlJc w:val="left"/>
      <w:pPr>
        <w:tabs>
          <w:tab w:val="num" w:pos="2160"/>
        </w:tabs>
        <w:ind w:left="2160" w:hanging="360"/>
      </w:pPr>
      <w:rPr>
        <w:rFonts w:ascii="Ericsson Hilda" w:hAnsi="Ericsson Hilda" w:hint="default"/>
      </w:rPr>
    </w:lvl>
    <w:lvl w:ilvl="3" w:tplc="F6B8BBA4" w:tentative="1">
      <w:start w:val="1"/>
      <w:numFmt w:val="bullet"/>
      <w:lvlText w:val="–"/>
      <w:lvlJc w:val="left"/>
      <w:pPr>
        <w:tabs>
          <w:tab w:val="num" w:pos="2880"/>
        </w:tabs>
        <w:ind w:left="2880" w:hanging="360"/>
      </w:pPr>
      <w:rPr>
        <w:rFonts w:ascii="Ericsson Hilda" w:hAnsi="Ericsson Hilda" w:hint="default"/>
      </w:rPr>
    </w:lvl>
    <w:lvl w:ilvl="4" w:tplc="1E3C29FE" w:tentative="1">
      <w:start w:val="1"/>
      <w:numFmt w:val="bullet"/>
      <w:lvlText w:val="–"/>
      <w:lvlJc w:val="left"/>
      <w:pPr>
        <w:tabs>
          <w:tab w:val="num" w:pos="3600"/>
        </w:tabs>
        <w:ind w:left="3600" w:hanging="360"/>
      </w:pPr>
      <w:rPr>
        <w:rFonts w:ascii="Ericsson Hilda" w:hAnsi="Ericsson Hilda" w:hint="default"/>
      </w:rPr>
    </w:lvl>
    <w:lvl w:ilvl="5" w:tplc="41720A58" w:tentative="1">
      <w:start w:val="1"/>
      <w:numFmt w:val="bullet"/>
      <w:lvlText w:val="–"/>
      <w:lvlJc w:val="left"/>
      <w:pPr>
        <w:tabs>
          <w:tab w:val="num" w:pos="4320"/>
        </w:tabs>
        <w:ind w:left="4320" w:hanging="360"/>
      </w:pPr>
      <w:rPr>
        <w:rFonts w:ascii="Ericsson Hilda" w:hAnsi="Ericsson Hilda" w:hint="default"/>
      </w:rPr>
    </w:lvl>
    <w:lvl w:ilvl="6" w:tplc="4E44111E" w:tentative="1">
      <w:start w:val="1"/>
      <w:numFmt w:val="bullet"/>
      <w:lvlText w:val="–"/>
      <w:lvlJc w:val="left"/>
      <w:pPr>
        <w:tabs>
          <w:tab w:val="num" w:pos="5040"/>
        </w:tabs>
        <w:ind w:left="5040" w:hanging="360"/>
      </w:pPr>
      <w:rPr>
        <w:rFonts w:ascii="Ericsson Hilda" w:hAnsi="Ericsson Hilda" w:hint="default"/>
      </w:rPr>
    </w:lvl>
    <w:lvl w:ilvl="7" w:tplc="008E993A" w:tentative="1">
      <w:start w:val="1"/>
      <w:numFmt w:val="bullet"/>
      <w:lvlText w:val="–"/>
      <w:lvlJc w:val="left"/>
      <w:pPr>
        <w:tabs>
          <w:tab w:val="num" w:pos="5760"/>
        </w:tabs>
        <w:ind w:left="5760" w:hanging="360"/>
      </w:pPr>
      <w:rPr>
        <w:rFonts w:ascii="Ericsson Hilda" w:hAnsi="Ericsson Hilda" w:hint="default"/>
      </w:rPr>
    </w:lvl>
    <w:lvl w:ilvl="8" w:tplc="D284C78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0"/>
  </w:num>
  <w:num w:numId="5" w16cid:durableId="39595559">
    <w:abstractNumId w:val="9"/>
  </w:num>
  <w:num w:numId="6" w16cid:durableId="1037125502">
    <w:abstractNumId w:val="7"/>
  </w:num>
  <w:num w:numId="7" w16cid:durableId="1640450837">
    <w:abstractNumId w:val="21"/>
  </w:num>
  <w:num w:numId="8" w16cid:durableId="559051128">
    <w:abstractNumId w:val="16"/>
  </w:num>
  <w:num w:numId="9" w16cid:durableId="1652060673">
    <w:abstractNumId w:val="22"/>
  </w:num>
  <w:num w:numId="10" w16cid:durableId="1526213550">
    <w:abstractNumId w:val="18"/>
  </w:num>
  <w:num w:numId="11" w16cid:durableId="1847862534">
    <w:abstractNumId w:val="8"/>
  </w:num>
  <w:num w:numId="12" w16cid:durableId="106899939">
    <w:abstractNumId w:val="12"/>
  </w:num>
  <w:num w:numId="13" w16cid:durableId="741292351">
    <w:abstractNumId w:val="4"/>
  </w:num>
  <w:num w:numId="14" w16cid:durableId="547886508">
    <w:abstractNumId w:val="13"/>
  </w:num>
  <w:num w:numId="15" w16cid:durableId="1118765132">
    <w:abstractNumId w:val="3"/>
  </w:num>
  <w:num w:numId="16" w16cid:durableId="989215019">
    <w:abstractNumId w:val="23"/>
  </w:num>
  <w:num w:numId="17" w16cid:durableId="1703363218">
    <w:abstractNumId w:val="24"/>
  </w:num>
  <w:num w:numId="18" w16cid:durableId="721515607">
    <w:abstractNumId w:val="6"/>
  </w:num>
  <w:num w:numId="19" w16cid:durableId="670790536">
    <w:abstractNumId w:val="5"/>
  </w:num>
  <w:num w:numId="20" w16cid:durableId="1121151998">
    <w:abstractNumId w:val="19"/>
  </w:num>
  <w:num w:numId="21" w16cid:durableId="73015032">
    <w:abstractNumId w:val="20"/>
  </w:num>
  <w:num w:numId="22" w16cid:durableId="702096145">
    <w:abstractNumId w:val="14"/>
  </w:num>
  <w:num w:numId="23" w16cid:durableId="1612282665">
    <w:abstractNumId w:val="14"/>
    <w:lvlOverride w:ilvl="0">
      <w:startOverride w:val="1"/>
    </w:lvlOverride>
  </w:num>
  <w:num w:numId="24" w16cid:durableId="9215257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612765">
    <w:abstractNumId w:val="17"/>
  </w:num>
  <w:num w:numId="26" w16cid:durableId="1909075024">
    <w:abstractNumId w:val="15"/>
  </w:num>
  <w:num w:numId="27" w16cid:durableId="1565531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57"/>
    <w:rsid w:val="000079A2"/>
    <w:rsid w:val="00010C29"/>
    <w:rsid w:val="00014A3D"/>
    <w:rsid w:val="00017178"/>
    <w:rsid w:val="00022E4A"/>
    <w:rsid w:val="00032C77"/>
    <w:rsid w:val="0004021E"/>
    <w:rsid w:val="0004704C"/>
    <w:rsid w:val="00065515"/>
    <w:rsid w:val="00067DCD"/>
    <w:rsid w:val="000803CB"/>
    <w:rsid w:val="0008452D"/>
    <w:rsid w:val="000A29F3"/>
    <w:rsid w:val="000A6394"/>
    <w:rsid w:val="000B1026"/>
    <w:rsid w:val="000B1F3D"/>
    <w:rsid w:val="000B6C96"/>
    <w:rsid w:val="000C038A"/>
    <w:rsid w:val="000C6598"/>
    <w:rsid w:val="000D7449"/>
    <w:rsid w:val="000E5C10"/>
    <w:rsid w:val="000F09A0"/>
    <w:rsid w:val="000F23FA"/>
    <w:rsid w:val="000F61FE"/>
    <w:rsid w:val="000F6F30"/>
    <w:rsid w:val="001031A8"/>
    <w:rsid w:val="00112C4C"/>
    <w:rsid w:val="00112CFB"/>
    <w:rsid w:val="001150AC"/>
    <w:rsid w:val="00131E56"/>
    <w:rsid w:val="00143501"/>
    <w:rsid w:val="00144724"/>
    <w:rsid w:val="00145D43"/>
    <w:rsid w:val="0016286B"/>
    <w:rsid w:val="001670C1"/>
    <w:rsid w:val="001723BE"/>
    <w:rsid w:val="00173DB6"/>
    <w:rsid w:val="00175DBF"/>
    <w:rsid w:val="001847EA"/>
    <w:rsid w:val="00192C46"/>
    <w:rsid w:val="001A7B60"/>
    <w:rsid w:val="001B5369"/>
    <w:rsid w:val="001B69F0"/>
    <w:rsid w:val="001B72A7"/>
    <w:rsid w:val="001B7A65"/>
    <w:rsid w:val="001D15E8"/>
    <w:rsid w:val="001D2CB8"/>
    <w:rsid w:val="001E41F3"/>
    <w:rsid w:val="001E48D4"/>
    <w:rsid w:val="001F418C"/>
    <w:rsid w:val="001F5400"/>
    <w:rsid w:val="00203348"/>
    <w:rsid w:val="00215478"/>
    <w:rsid w:val="002218D6"/>
    <w:rsid w:val="00230DA4"/>
    <w:rsid w:val="0023227F"/>
    <w:rsid w:val="002339AF"/>
    <w:rsid w:val="00233C5B"/>
    <w:rsid w:val="0024216F"/>
    <w:rsid w:val="00242EDD"/>
    <w:rsid w:val="00244DD5"/>
    <w:rsid w:val="00245593"/>
    <w:rsid w:val="00251DE6"/>
    <w:rsid w:val="00257118"/>
    <w:rsid w:val="0026004D"/>
    <w:rsid w:val="00260E4E"/>
    <w:rsid w:val="00261B85"/>
    <w:rsid w:val="002636A7"/>
    <w:rsid w:val="00263FD7"/>
    <w:rsid w:val="00271AF7"/>
    <w:rsid w:val="0027588B"/>
    <w:rsid w:val="00275D12"/>
    <w:rsid w:val="002769EB"/>
    <w:rsid w:val="00277C88"/>
    <w:rsid w:val="002860C4"/>
    <w:rsid w:val="00297D3D"/>
    <w:rsid w:val="002A47EF"/>
    <w:rsid w:val="002B1151"/>
    <w:rsid w:val="002B24C6"/>
    <w:rsid w:val="002B422B"/>
    <w:rsid w:val="002B4F3B"/>
    <w:rsid w:val="002B5741"/>
    <w:rsid w:val="002B5B7A"/>
    <w:rsid w:val="002C4943"/>
    <w:rsid w:val="002E0F85"/>
    <w:rsid w:val="002E77B3"/>
    <w:rsid w:val="00302341"/>
    <w:rsid w:val="003051A8"/>
    <w:rsid w:val="00305409"/>
    <w:rsid w:val="003122C7"/>
    <w:rsid w:val="00316FC4"/>
    <w:rsid w:val="0031798E"/>
    <w:rsid w:val="00331D8A"/>
    <w:rsid w:val="0035109A"/>
    <w:rsid w:val="0035291D"/>
    <w:rsid w:val="0035319E"/>
    <w:rsid w:val="00353346"/>
    <w:rsid w:val="00353938"/>
    <w:rsid w:val="00376029"/>
    <w:rsid w:val="00396631"/>
    <w:rsid w:val="003A4E1D"/>
    <w:rsid w:val="003B01DA"/>
    <w:rsid w:val="003B1E7A"/>
    <w:rsid w:val="003C12C0"/>
    <w:rsid w:val="003E0918"/>
    <w:rsid w:val="003E1A36"/>
    <w:rsid w:val="003F12A0"/>
    <w:rsid w:val="003F54CE"/>
    <w:rsid w:val="00403302"/>
    <w:rsid w:val="00410098"/>
    <w:rsid w:val="0041493D"/>
    <w:rsid w:val="004165D0"/>
    <w:rsid w:val="00416A23"/>
    <w:rsid w:val="00416B0F"/>
    <w:rsid w:val="00416EE2"/>
    <w:rsid w:val="004242F1"/>
    <w:rsid w:val="00425BB8"/>
    <w:rsid w:val="004318A4"/>
    <w:rsid w:val="004372E1"/>
    <w:rsid w:val="00443323"/>
    <w:rsid w:val="00446D66"/>
    <w:rsid w:val="0045561C"/>
    <w:rsid w:val="00467657"/>
    <w:rsid w:val="00474F4D"/>
    <w:rsid w:val="0047504E"/>
    <w:rsid w:val="00477891"/>
    <w:rsid w:val="00483A4F"/>
    <w:rsid w:val="00485BB2"/>
    <w:rsid w:val="004865D4"/>
    <w:rsid w:val="00491208"/>
    <w:rsid w:val="004A1950"/>
    <w:rsid w:val="004B190C"/>
    <w:rsid w:val="004B1FFF"/>
    <w:rsid w:val="004B32F9"/>
    <w:rsid w:val="004B69DE"/>
    <w:rsid w:val="004B75B7"/>
    <w:rsid w:val="004C0B08"/>
    <w:rsid w:val="004F6AA0"/>
    <w:rsid w:val="00501900"/>
    <w:rsid w:val="00501EAC"/>
    <w:rsid w:val="005023CA"/>
    <w:rsid w:val="005101E3"/>
    <w:rsid w:val="005116DD"/>
    <w:rsid w:val="005124D6"/>
    <w:rsid w:val="0051580D"/>
    <w:rsid w:val="00524105"/>
    <w:rsid w:val="00530930"/>
    <w:rsid w:val="005409CA"/>
    <w:rsid w:val="00542B9E"/>
    <w:rsid w:val="00543448"/>
    <w:rsid w:val="00547399"/>
    <w:rsid w:val="005552CC"/>
    <w:rsid w:val="0055536F"/>
    <w:rsid w:val="00564BA5"/>
    <w:rsid w:val="00571B29"/>
    <w:rsid w:val="0058168A"/>
    <w:rsid w:val="00592D74"/>
    <w:rsid w:val="005B4CF5"/>
    <w:rsid w:val="005B6102"/>
    <w:rsid w:val="005D4C64"/>
    <w:rsid w:val="005E2C44"/>
    <w:rsid w:val="005E3D2A"/>
    <w:rsid w:val="005E43DE"/>
    <w:rsid w:val="005E49AB"/>
    <w:rsid w:val="005E4D8A"/>
    <w:rsid w:val="005E5381"/>
    <w:rsid w:val="005F436C"/>
    <w:rsid w:val="00601360"/>
    <w:rsid w:val="0060567A"/>
    <w:rsid w:val="00607F88"/>
    <w:rsid w:val="0061251C"/>
    <w:rsid w:val="00616E3B"/>
    <w:rsid w:val="00621188"/>
    <w:rsid w:val="00622805"/>
    <w:rsid w:val="00623321"/>
    <w:rsid w:val="006257ED"/>
    <w:rsid w:val="00626A76"/>
    <w:rsid w:val="0062763C"/>
    <w:rsid w:val="00631C6A"/>
    <w:rsid w:val="006541F2"/>
    <w:rsid w:val="00655C40"/>
    <w:rsid w:val="006760A7"/>
    <w:rsid w:val="006804C7"/>
    <w:rsid w:val="006848B8"/>
    <w:rsid w:val="00695808"/>
    <w:rsid w:val="00695F88"/>
    <w:rsid w:val="006A5614"/>
    <w:rsid w:val="006A7A3C"/>
    <w:rsid w:val="006B2CA2"/>
    <w:rsid w:val="006B46FB"/>
    <w:rsid w:val="006C690F"/>
    <w:rsid w:val="006E21FB"/>
    <w:rsid w:val="006E74F4"/>
    <w:rsid w:val="006F119A"/>
    <w:rsid w:val="007041BE"/>
    <w:rsid w:val="007147ED"/>
    <w:rsid w:val="00715A3D"/>
    <w:rsid w:val="007169B9"/>
    <w:rsid w:val="00717819"/>
    <w:rsid w:val="007238AC"/>
    <w:rsid w:val="00732152"/>
    <w:rsid w:val="007342B2"/>
    <w:rsid w:val="00740656"/>
    <w:rsid w:val="00742578"/>
    <w:rsid w:val="00743122"/>
    <w:rsid w:val="00756259"/>
    <w:rsid w:val="007602C5"/>
    <w:rsid w:val="007603F0"/>
    <w:rsid w:val="0076635E"/>
    <w:rsid w:val="00775CD6"/>
    <w:rsid w:val="00776EC4"/>
    <w:rsid w:val="00790A7B"/>
    <w:rsid w:val="00792342"/>
    <w:rsid w:val="007948C9"/>
    <w:rsid w:val="00795237"/>
    <w:rsid w:val="007A0C37"/>
    <w:rsid w:val="007A34F3"/>
    <w:rsid w:val="007B052A"/>
    <w:rsid w:val="007B0593"/>
    <w:rsid w:val="007B512A"/>
    <w:rsid w:val="007C2097"/>
    <w:rsid w:val="007C2718"/>
    <w:rsid w:val="007D3ED1"/>
    <w:rsid w:val="007D6A07"/>
    <w:rsid w:val="007E4113"/>
    <w:rsid w:val="007E5FC8"/>
    <w:rsid w:val="007E6478"/>
    <w:rsid w:val="007E6B1D"/>
    <w:rsid w:val="007F571E"/>
    <w:rsid w:val="00802ADA"/>
    <w:rsid w:val="00804AFA"/>
    <w:rsid w:val="00810797"/>
    <w:rsid w:val="00814791"/>
    <w:rsid w:val="00816CC1"/>
    <w:rsid w:val="00820C52"/>
    <w:rsid w:val="008279FA"/>
    <w:rsid w:val="00833A98"/>
    <w:rsid w:val="00834A71"/>
    <w:rsid w:val="008373AD"/>
    <w:rsid w:val="00851E6A"/>
    <w:rsid w:val="008579E4"/>
    <w:rsid w:val="008622E7"/>
    <w:rsid w:val="008626E7"/>
    <w:rsid w:val="00870EE7"/>
    <w:rsid w:val="00876C7E"/>
    <w:rsid w:val="00887403"/>
    <w:rsid w:val="00890D98"/>
    <w:rsid w:val="0089169C"/>
    <w:rsid w:val="00892300"/>
    <w:rsid w:val="008952E8"/>
    <w:rsid w:val="00896D08"/>
    <w:rsid w:val="0089765E"/>
    <w:rsid w:val="008B32BF"/>
    <w:rsid w:val="008B6FC0"/>
    <w:rsid w:val="008C0A09"/>
    <w:rsid w:val="008D0442"/>
    <w:rsid w:val="008D1ED2"/>
    <w:rsid w:val="008F686C"/>
    <w:rsid w:val="009017EE"/>
    <w:rsid w:val="0090504C"/>
    <w:rsid w:val="00926624"/>
    <w:rsid w:val="00936301"/>
    <w:rsid w:val="00936638"/>
    <w:rsid w:val="00936A6B"/>
    <w:rsid w:val="00941931"/>
    <w:rsid w:val="0095270E"/>
    <w:rsid w:val="00955FBC"/>
    <w:rsid w:val="009628A1"/>
    <w:rsid w:val="00966528"/>
    <w:rsid w:val="00972525"/>
    <w:rsid w:val="00975847"/>
    <w:rsid w:val="009777D9"/>
    <w:rsid w:val="00991B88"/>
    <w:rsid w:val="00993987"/>
    <w:rsid w:val="009A39FF"/>
    <w:rsid w:val="009A579D"/>
    <w:rsid w:val="009B306B"/>
    <w:rsid w:val="009B7EA1"/>
    <w:rsid w:val="009C3237"/>
    <w:rsid w:val="009C5548"/>
    <w:rsid w:val="009E212C"/>
    <w:rsid w:val="009E3297"/>
    <w:rsid w:val="009E523B"/>
    <w:rsid w:val="009F734F"/>
    <w:rsid w:val="00A04081"/>
    <w:rsid w:val="00A06905"/>
    <w:rsid w:val="00A142BB"/>
    <w:rsid w:val="00A16D79"/>
    <w:rsid w:val="00A2204E"/>
    <w:rsid w:val="00A2269F"/>
    <w:rsid w:val="00A246B6"/>
    <w:rsid w:val="00A3599E"/>
    <w:rsid w:val="00A3732B"/>
    <w:rsid w:val="00A428EC"/>
    <w:rsid w:val="00A4787B"/>
    <w:rsid w:val="00A47E70"/>
    <w:rsid w:val="00A51D22"/>
    <w:rsid w:val="00A579B6"/>
    <w:rsid w:val="00A721FA"/>
    <w:rsid w:val="00A7227A"/>
    <w:rsid w:val="00A75237"/>
    <w:rsid w:val="00A7671C"/>
    <w:rsid w:val="00A80D94"/>
    <w:rsid w:val="00A9347E"/>
    <w:rsid w:val="00AA0CFC"/>
    <w:rsid w:val="00AA739C"/>
    <w:rsid w:val="00AB00C3"/>
    <w:rsid w:val="00AD1CD8"/>
    <w:rsid w:val="00AE40D0"/>
    <w:rsid w:val="00AE6E2C"/>
    <w:rsid w:val="00AF43A8"/>
    <w:rsid w:val="00B0502B"/>
    <w:rsid w:val="00B058B2"/>
    <w:rsid w:val="00B0777C"/>
    <w:rsid w:val="00B12ACB"/>
    <w:rsid w:val="00B1727F"/>
    <w:rsid w:val="00B17B06"/>
    <w:rsid w:val="00B258BB"/>
    <w:rsid w:val="00B26E33"/>
    <w:rsid w:val="00B310A8"/>
    <w:rsid w:val="00B329EC"/>
    <w:rsid w:val="00B330B3"/>
    <w:rsid w:val="00B33485"/>
    <w:rsid w:val="00B337F9"/>
    <w:rsid w:val="00B437CA"/>
    <w:rsid w:val="00B46401"/>
    <w:rsid w:val="00B50379"/>
    <w:rsid w:val="00B560B5"/>
    <w:rsid w:val="00B566B5"/>
    <w:rsid w:val="00B67B97"/>
    <w:rsid w:val="00B70BDD"/>
    <w:rsid w:val="00B76C75"/>
    <w:rsid w:val="00B803F6"/>
    <w:rsid w:val="00B84FE8"/>
    <w:rsid w:val="00B8538D"/>
    <w:rsid w:val="00B85DBD"/>
    <w:rsid w:val="00B87416"/>
    <w:rsid w:val="00B926B3"/>
    <w:rsid w:val="00B96820"/>
    <w:rsid w:val="00B968C8"/>
    <w:rsid w:val="00BA00BC"/>
    <w:rsid w:val="00BA3EC5"/>
    <w:rsid w:val="00BB5834"/>
    <w:rsid w:val="00BB5DFC"/>
    <w:rsid w:val="00BD279D"/>
    <w:rsid w:val="00BD68A1"/>
    <w:rsid w:val="00BD6BB8"/>
    <w:rsid w:val="00BE2EC3"/>
    <w:rsid w:val="00BE3B42"/>
    <w:rsid w:val="00BE55D0"/>
    <w:rsid w:val="00BF7F8B"/>
    <w:rsid w:val="00C000D5"/>
    <w:rsid w:val="00C05E08"/>
    <w:rsid w:val="00C12DBC"/>
    <w:rsid w:val="00C17D62"/>
    <w:rsid w:val="00C27D3B"/>
    <w:rsid w:val="00C35A07"/>
    <w:rsid w:val="00C41EE9"/>
    <w:rsid w:val="00C5481B"/>
    <w:rsid w:val="00C5653D"/>
    <w:rsid w:val="00C66334"/>
    <w:rsid w:val="00C835AA"/>
    <w:rsid w:val="00C874E6"/>
    <w:rsid w:val="00C90768"/>
    <w:rsid w:val="00C93D56"/>
    <w:rsid w:val="00C95985"/>
    <w:rsid w:val="00CA6304"/>
    <w:rsid w:val="00CA702D"/>
    <w:rsid w:val="00CB3D5D"/>
    <w:rsid w:val="00CB47A0"/>
    <w:rsid w:val="00CC5026"/>
    <w:rsid w:val="00CE271A"/>
    <w:rsid w:val="00CF6025"/>
    <w:rsid w:val="00D020C3"/>
    <w:rsid w:val="00D03F9A"/>
    <w:rsid w:val="00D069A7"/>
    <w:rsid w:val="00D104E0"/>
    <w:rsid w:val="00D14487"/>
    <w:rsid w:val="00D153D3"/>
    <w:rsid w:val="00D202FA"/>
    <w:rsid w:val="00D3332B"/>
    <w:rsid w:val="00D34F4F"/>
    <w:rsid w:val="00D361E9"/>
    <w:rsid w:val="00D502C5"/>
    <w:rsid w:val="00D608C3"/>
    <w:rsid w:val="00D66AEC"/>
    <w:rsid w:val="00D73306"/>
    <w:rsid w:val="00DA37DC"/>
    <w:rsid w:val="00DC4ED7"/>
    <w:rsid w:val="00DD5724"/>
    <w:rsid w:val="00DE34CF"/>
    <w:rsid w:val="00DE6BC4"/>
    <w:rsid w:val="00DE6E1D"/>
    <w:rsid w:val="00DF06FC"/>
    <w:rsid w:val="00DF37BC"/>
    <w:rsid w:val="00DF55DB"/>
    <w:rsid w:val="00E076F9"/>
    <w:rsid w:val="00E134E3"/>
    <w:rsid w:val="00E25598"/>
    <w:rsid w:val="00E27E18"/>
    <w:rsid w:val="00E30C5F"/>
    <w:rsid w:val="00E4418D"/>
    <w:rsid w:val="00E52AE0"/>
    <w:rsid w:val="00E64117"/>
    <w:rsid w:val="00E76225"/>
    <w:rsid w:val="00E80346"/>
    <w:rsid w:val="00E9743C"/>
    <w:rsid w:val="00EA32CF"/>
    <w:rsid w:val="00EA3DAD"/>
    <w:rsid w:val="00EA5CB7"/>
    <w:rsid w:val="00EB3F46"/>
    <w:rsid w:val="00EB521D"/>
    <w:rsid w:val="00ED17C7"/>
    <w:rsid w:val="00ED588A"/>
    <w:rsid w:val="00EE0733"/>
    <w:rsid w:val="00EE696A"/>
    <w:rsid w:val="00EE7D7C"/>
    <w:rsid w:val="00EF102E"/>
    <w:rsid w:val="00EF376B"/>
    <w:rsid w:val="00EF3A19"/>
    <w:rsid w:val="00F03C76"/>
    <w:rsid w:val="00F04E7F"/>
    <w:rsid w:val="00F07D17"/>
    <w:rsid w:val="00F10B0F"/>
    <w:rsid w:val="00F11694"/>
    <w:rsid w:val="00F162BA"/>
    <w:rsid w:val="00F22251"/>
    <w:rsid w:val="00F25D98"/>
    <w:rsid w:val="00F300FB"/>
    <w:rsid w:val="00F3190B"/>
    <w:rsid w:val="00F3642F"/>
    <w:rsid w:val="00F53AB6"/>
    <w:rsid w:val="00F5584C"/>
    <w:rsid w:val="00F56BFF"/>
    <w:rsid w:val="00F61596"/>
    <w:rsid w:val="00F649B9"/>
    <w:rsid w:val="00F6595B"/>
    <w:rsid w:val="00F65B88"/>
    <w:rsid w:val="00F77D84"/>
    <w:rsid w:val="00F820D1"/>
    <w:rsid w:val="00F82CC4"/>
    <w:rsid w:val="00F84FCE"/>
    <w:rsid w:val="00F9031B"/>
    <w:rsid w:val="00F976E0"/>
    <w:rsid w:val="00F9784E"/>
    <w:rsid w:val="00FA2AE1"/>
    <w:rsid w:val="00FA5C50"/>
    <w:rsid w:val="00FA5ECB"/>
    <w:rsid w:val="00FB3274"/>
    <w:rsid w:val="00FB4AAA"/>
    <w:rsid w:val="00FB6386"/>
    <w:rsid w:val="00FB7DE3"/>
    <w:rsid w:val="00FC2489"/>
    <w:rsid w:val="00FC2B2C"/>
    <w:rsid w:val="00FC5135"/>
    <w:rsid w:val="00FE006E"/>
    <w:rsid w:val="00FE57B3"/>
    <w:rsid w:val="00FF21FF"/>
    <w:rsid w:val="00FF2AD2"/>
    <w:rsid w:val="00FF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149F5962"/>
  <w15:chartTrackingRefBased/>
  <w15:docId w15:val="{6D78C819-CE30-4320-A759-E7825041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1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99"/>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customStyle="1" w:styleId="Proposal">
    <w:name w:val="Proposal"/>
    <w:basedOn w:val="BodyText"/>
    <w:qFormat/>
    <w:rsid w:val="00C835AA"/>
    <w:pPr>
      <w:numPr>
        <w:numId w:val="22"/>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TableofFigures">
    <w:name w:val="table of figures"/>
    <w:basedOn w:val="BodyText"/>
    <w:next w:val="Normal"/>
    <w:uiPriority w:val="99"/>
    <w:rsid w:val="00CB47A0"/>
    <w:pPr>
      <w:overflowPunct w:val="0"/>
      <w:autoSpaceDE w:val="0"/>
      <w:autoSpaceDN w:val="0"/>
      <w:adjustRightInd w:val="0"/>
      <w:ind w:left="1701" w:hanging="1701"/>
      <w:textAlignment w:val="baseline"/>
    </w:pPr>
    <w:rPr>
      <w:rFonts w:ascii="Arial" w:eastAsia="SimSun" w:hAnsi="Arial"/>
      <w:b/>
      <w:lang w:eastAsia="zh-CN"/>
    </w:rPr>
  </w:style>
  <w:style w:type="character" w:styleId="UnresolvedMention">
    <w:name w:val="Unresolved Mention"/>
    <w:basedOn w:val="DefaultParagraphFont"/>
    <w:uiPriority w:val="99"/>
    <w:semiHidden/>
    <w:unhideWhenUsed/>
    <w:rsid w:val="00D020C3"/>
    <w:rPr>
      <w:color w:val="605E5C"/>
      <w:shd w:val="clear" w:color="auto" w:fill="E1DFDD"/>
    </w:rPr>
  </w:style>
  <w:style w:type="paragraph" w:customStyle="1" w:styleId="Observation">
    <w:name w:val="Observation"/>
    <w:basedOn w:val="Proposal"/>
    <w:qFormat/>
    <w:rsid w:val="00D020C3"/>
    <w:pPr>
      <w:numPr>
        <w:numId w:val="1"/>
      </w:numPr>
      <w:tabs>
        <w:tab w:val="clear" w:pos="926"/>
        <w:tab w:val="clear" w:pos="2580"/>
        <w:tab w:val="num" w:pos="360"/>
        <w:tab w:val="num" w:pos="1304"/>
      </w:tabs>
      <w:ind w:left="0" w:firstLine="0"/>
    </w:pPr>
    <w:rPr>
      <w:lang w:eastAsia="ja-JP"/>
    </w:rPr>
  </w:style>
  <w:style w:type="paragraph" w:styleId="NormalWeb">
    <w:name w:val="Normal (Web)"/>
    <w:basedOn w:val="Normal"/>
    <w:uiPriority w:val="99"/>
    <w:unhideWhenUsed/>
    <w:rsid w:val="00D502C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160">
      <w:bodyDiv w:val="1"/>
      <w:marLeft w:val="0"/>
      <w:marRight w:val="0"/>
      <w:marTop w:val="0"/>
      <w:marBottom w:val="0"/>
      <w:divBdr>
        <w:top w:val="none" w:sz="0" w:space="0" w:color="auto"/>
        <w:left w:val="none" w:sz="0" w:space="0" w:color="auto"/>
        <w:bottom w:val="none" w:sz="0" w:space="0" w:color="auto"/>
        <w:right w:val="none" w:sz="0" w:space="0" w:color="auto"/>
      </w:divBdr>
    </w:div>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4740892">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332342900">
      <w:bodyDiv w:val="1"/>
      <w:marLeft w:val="0"/>
      <w:marRight w:val="0"/>
      <w:marTop w:val="0"/>
      <w:marBottom w:val="0"/>
      <w:divBdr>
        <w:top w:val="none" w:sz="0" w:space="0" w:color="auto"/>
        <w:left w:val="none" w:sz="0" w:space="0" w:color="auto"/>
        <w:bottom w:val="none" w:sz="0" w:space="0" w:color="auto"/>
        <w:right w:val="none" w:sz="0" w:space="0" w:color="auto"/>
      </w:divBdr>
    </w:div>
    <w:div w:id="366685120">
      <w:bodyDiv w:val="1"/>
      <w:marLeft w:val="0"/>
      <w:marRight w:val="0"/>
      <w:marTop w:val="0"/>
      <w:marBottom w:val="0"/>
      <w:divBdr>
        <w:top w:val="none" w:sz="0" w:space="0" w:color="auto"/>
        <w:left w:val="none" w:sz="0" w:space="0" w:color="auto"/>
        <w:bottom w:val="none" w:sz="0" w:space="0" w:color="auto"/>
        <w:right w:val="none" w:sz="0" w:space="0" w:color="auto"/>
      </w:divBdr>
    </w:div>
    <w:div w:id="460922825">
      <w:bodyDiv w:val="1"/>
      <w:marLeft w:val="0"/>
      <w:marRight w:val="0"/>
      <w:marTop w:val="0"/>
      <w:marBottom w:val="0"/>
      <w:divBdr>
        <w:top w:val="none" w:sz="0" w:space="0" w:color="auto"/>
        <w:left w:val="none" w:sz="0" w:space="0" w:color="auto"/>
        <w:bottom w:val="none" w:sz="0" w:space="0" w:color="auto"/>
        <w:right w:val="none" w:sz="0" w:space="0" w:color="auto"/>
      </w:divBdr>
    </w:div>
    <w:div w:id="491526078">
      <w:bodyDiv w:val="1"/>
      <w:marLeft w:val="0"/>
      <w:marRight w:val="0"/>
      <w:marTop w:val="0"/>
      <w:marBottom w:val="0"/>
      <w:divBdr>
        <w:top w:val="none" w:sz="0" w:space="0" w:color="auto"/>
        <w:left w:val="none" w:sz="0" w:space="0" w:color="auto"/>
        <w:bottom w:val="none" w:sz="0" w:space="0" w:color="auto"/>
        <w:right w:val="none" w:sz="0" w:space="0" w:color="auto"/>
      </w:divBdr>
    </w:div>
    <w:div w:id="495075526">
      <w:bodyDiv w:val="1"/>
      <w:marLeft w:val="0"/>
      <w:marRight w:val="0"/>
      <w:marTop w:val="0"/>
      <w:marBottom w:val="0"/>
      <w:divBdr>
        <w:top w:val="none" w:sz="0" w:space="0" w:color="auto"/>
        <w:left w:val="none" w:sz="0" w:space="0" w:color="auto"/>
        <w:bottom w:val="none" w:sz="0" w:space="0" w:color="auto"/>
        <w:right w:val="none" w:sz="0" w:space="0" w:color="auto"/>
      </w:divBdr>
    </w:div>
    <w:div w:id="49915263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78629314">
      <w:bodyDiv w:val="1"/>
      <w:marLeft w:val="0"/>
      <w:marRight w:val="0"/>
      <w:marTop w:val="0"/>
      <w:marBottom w:val="0"/>
      <w:divBdr>
        <w:top w:val="none" w:sz="0" w:space="0" w:color="auto"/>
        <w:left w:val="none" w:sz="0" w:space="0" w:color="auto"/>
        <w:bottom w:val="none" w:sz="0" w:space="0" w:color="auto"/>
        <w:right w:val="none" w:sz="0" w:space="0" w:color="auto"/>
      </w:divBdr>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800418394">
      <w:bodyDiv w:val="1"/>
      <w:marLeft w:val="0"/>
      <w:marRight w:val="0"/>
      <w:marTop w:val="0"/>
      <w:marBottom w:val="0"/>
      <w:divBdr>
        <w:top w:val="none" w:sz="0" w:space="0" w:color="auto"/>
        <w:left w:val="none" w:sz="0" w:space="0" w:color="auto"/>
        <w:bottom w:val="none" w:sz="0" w:space="0" w:color="auto"/>
        <w:right w:val="none" w:sz="0" w:space="0" w:color="auto"/>
      </w:divBdr>
      <w:divsChild>
        <w:div w:id="560561515">
          <w:marLeft w:val="850"/>
          <w:marRight w:val="0"/>
          <w:marTop w:val="160"/>
          <w:marBottom w:val="0"/>
          <w:divBdr>
            <w:top w:val="none" w:sz="0" w:space="0" w:color="auto"/>
            <w:left w:val="none" w:sz="0" w:space="0" w:color="auto"/>
            <w:bottom w:val="none" w:sz="0" w:space="0" w:color="auto"/>
            <w:right w:val="none" w:sz="0" w:space="0" w:color="auto"/>
          </w:divBdr>
        </w:div>
      </w:divsChild>
    </w:div>
    <w:div w:id="944769915">
      <w:bodyDiv w:val="1"/>
      <w:marLeft w:val="0"/>
      <w:marRight w:val="0"/>
      <w:marTop w:val="0"/>
      <w:marBottom w:val="0"/>
      <w:divBdr>
        <w:top w:val="none" w:sz="0" w:space="0" w:color="auto"/>
        <w:left w:val="none" w:sz="0" w:space="0" w:color="auto"/>
        <w:bottom w:val="none" w:sz="0" w:space="0" w:color="auto"/>
        <w:right w:val="none" w:sz="0" w:space="0" w:color="auto"/>
      </w:divBdr>
    </w:div>
    <w:div w:id="947083454">
      <w:bodyDiv w:val="1"/>
      <w:marLeft w:val="0"/>
      <w:marRight w:val="0"/>
      <w:marTop w:val="0"/>
      <w:marBottom w:val="0"/>
      <w:divBdr>
        <w:top w:val="none" w:sz="0" w:space="0" w:color="auto"/>
        <w:left w:val="none" w:sz="0" w:space="0" w:color="auto"/>
        <w:bottom w:val="none" w:sz="0" w:space="0" w:color="auto"/>
        <w:right w:val="none" w:sz="0" w:space="0" w:color="auto"/>
      </w:divBdr>
    </w:div>
    <w:div w:id="1230120263">
      <w:bodyDiv w:val="1"/>
      <w:marLeft w:val="0"/>
      <w:marRight w:val="0"/>
      <w:marTop w:val="0"/>
      <w:marBottom w:val="0"/>
      <w:divBdr>
        <w:top w:val="none" w:sz="0" w:space="0" w:color="auto"/>
        <w:left w:val="none" w:sz="0" w:space="0" w:color="auto"/>
        <w:bottom w:val="none" w:sz="0" w:space="0" w:color="auto"/>
        <w:right w:val="none" w:sz="0" w:space="0" w:color="auto"/>
      </w:divBdr>
    </w:div>
    <w:div w:id="1286084174">
      <w:bodyDiv w:val="1"/>
      <w:marLeft w:val="0"/>
      <w:marRight w:val="0"/>
      <w:marTop w:val="0"/>
      <w:marBottom w:val="0"/>
      <w:divBdr>
        <w:top w:val="none" w:sz="0" w:space="0" w:color="auto"/>
        <w:left w:val="none" w:sz="0" w:space="0" w:color="auto"/>
        <w:bottom w:val="none" w:sz="0" w:space="0" w:color="auto"/>
        <w:right w:val="none" w:sz="0" w:space="0" w:color="auto"/>
      </w:divBdr>
    </w:div>
    <w:div w:id="1359817739">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480489748">
      <w:bodyDiv w:val="1"/>
      <w:marLeft w:val="0"/>
      <w:marRight w:val="0"/>
      <w:marTop w:val="0"/>
      <w:marBottom w:val="0"/>
      <w:divBdr>
        <w:top w:val="none" w:sz="0" w:space="0" w:color="auto"/>
        <w:left w:val="none" w:sz="0" w:space="0" w:color="auto"/>
        <w:bottom w:val="none" w:sz="0" w:space="0" w:color="auto"/>
        <w:right w:val="none" w:sz="0" w:space="0" w:color="auto"/>
      </w:divBdr>
    </w:div>
    <w:div w:id="153055968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3682799">
      <w:bodyDiv w:val="1"/>
      <w:marLeft w:val="0"/>
      <w:marRight w:val="0"/>
      <w:marTop w:val="0"/>
      <w:marBottom w:val="0"/>
      <w:divBdr>
        <w:top w:val="none" w:sz="0" w:space="0" w:color="auto"/>
        <w:left w:val="none" w:sz="0" w:space="0" w:color="auto"/>
        <w:bottom w:val="none" w:sz="0" w:space="0" w:color="auto"/>
        <w:right w:val="none" w:sz="0" w:space="0" w:color="auto"/>
      </w:divBdr>
    </w:div>
    <w:div w:id="1624769404">
      <w:bodyDiv w:val="1"/>
      <w:marLeft w:val="0"/>
      <w:marRight w:val="0"/>
      <w:marTop w:val="0"/>
      <w:marBottom w:val="0"/>
      <w:divBdr>
        <w:top w:val="none" w:sz="0" w:space="0" w:color="auto"/>
        <w:left w:val="none" w:sz="0" w:space="0" w:color="auto"/>
        <w:bottom w:val="none" w:sz="0" w:space="0" w:color="auto"/>
        <w:right w:val="none" w:sz="0" w:space="0" w:color="auto"/>
      </w:divBdr>
    </w:div>
    <w:div w:id="1644850956">
      <w:bodyDiv w:val="1"/>
      <w:marLeft w:val="0"/>
      <w:marRight w:val="0"/>
      <w:marTop w:val="0"/>
      <w:marBottom w:val="0"/>
      <w:divBdr>
        <w:top w:val="none" w:sz="0" w:space="0" w:color="auto"/>
        <w:left w:val="none" w:sz="0" w:space="0" w:color="auto"/>
        <w:bottom w:val="none" w:sz="0" w:space="0" w:color="auto"/>
        <w:right w:val="none" w:sz="0" w:space="0" w:color="auto"/>
      </w:divBdr>
    </w:div>
    <w:div w:id="1755085088">
      <w:bodyDiv w:val="1"/>
      <w:marLeft w:val="0"/>
      <w:marRight w:val="0"/>
      <w:marTop w:val="0"/>
      <w:marBottom w:val="0"/>
      <w:divBdr>
        <w:top w:val="none" w:sz="0" w:space="0" w:color="auto"/>
        <w:left w:val="none" w:sz="0" w:space="0" w:color="auto"/>
        <w:bottom w:val="none" w:sz="0" w:space="0" w:color="auto"/>
        <w:right w:val="none" w:sz="0" w:space="0" w:color="auto"/>
      </w:divBdr>
    </w:div>
    <w:div w:id="1757743347">
      <w:bodyDiv w:val="1"/>
      <w:marLeft w:val="0"/>
      <w:marRight w:val="0"/>
      <w:marTop w:val="0"/>
      <w:marBottom w:val="0"/>
      <w:divBdr>
        <w:top w:val="none" w:sz="0" w:space="0" w:color="auto"/>
        <w:left w:val="none" w:sz="0" w:space="0" w:color="auto"/>
        <w:bottom w:val="none" w:sz="0" w:space="0" w:color="auto"/>
        <w:right w:val="none" w:sz="0" w:space="0" w:color="auto"/>
      </w:divBdr>
    </w:div>
    <w:div w:id="1834101081">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1970359040">
      <w:bodyDiv w:val="1"/>
      <w:marLeft w:val="0"/>
      <w:marRight w:val="0"/>
      <w:marTop w:val="0"/>
      <w:marBottom w:val="0"/>
      <w:divBdr>
        <w:top w:val="none" w:sz="0" w:space="0" w:color="auto"/>
        <w:left w:val="none" w:sz="0" w:space="0" w:color="auto"/>
        <w:bottom w:val="none" w:sz="0" w:space="0" w:color="auto"/>
        <w:right w:val="none" w:sz="0" w:space="0" w:color="auto"/>
      </w:divBdr>
    </w:div>
    <w:div w:id="2030522463">
      <w:bodyDiv w:val="1"/>
      <w:marLeft w:val="0"/>
      <w:marRight w:val="0"/>
      <w:marTop w:val="0"/>
      <w:marBottom w:val="0"/>
      <w:divBdr>
        <w:top w:val="none" w:sz="0" w:space="0" w:color="auto"/>
        <w:left w:val="none" w:sz="0" w:space="0" w:color="auto"/>
        <w:bottom w:val="none" w:sz="0" w:space="0" w:color="auto"/>
        <w:right w:val="none" w:sz="0" w:space="0" w:color="auto"/>
      </w:divBdr>
    </w:div>
    <w:div w:id="2051105256">
      <w:bodyDiv w:val="1"/>
      <w:marLeft w:val="0"/>
      <w:marRight w:val="0"/>
      <w:marTop w:val="0"/>
      <w:marBottom w:val="0"/>
      <w:divBdr>
        <w:top w:val="none" w:sz="0" w:space="0" w:color="auto"/>
        <w:left w:val="none" w:sz="0" w:space="0" w:color="auto"/>
        <w:bottom w:val="none" w:sz="0" w:space="0" w:color="auto"/>
        <w:right w:val="none" w:sz="0" w:space="0" w:color="auto"/>
      </w:divBdr>
    </w:div>
    <w:div w:id="2062946152">
      <w:bodyDiv w:val="1"/>
      <w:marLeft w:val="0"/>
      <w:marRight w:val="0"/>
      <w:marTop w:val="0"/>
      <w:marBottom w:val="0"/>
      <w:divBdr>
        <w:top w:val="none" w:sz="0" w:space="0" w:color="auto"/>
        <w:left w:val="none" w:sz="0" w:space="0" w:color="auto"/>
        <w:bottom w:val="none" w:sz="0" w:space="0" w:color="auto"/>
        <w:right w:val="none" w:sz="0" w:space="0" w:color="auto"/>
      </w:divBdr>
    </w:div>
    <w:div w:id="2067030018">
      <w:bodyDiv w:val="1"/>
      <w:marLeft w:val="0"/>
      <w:marRight w:val="0"/>
      <w:marTop w:val="0"/>
      <w:marBottom w:val="0"/>
      <w:divBdr>
        <w:top w:val="none" w:sz="0" w:space="0" w:color="auto"/>
        <w:left w:val="none" w:sz="0" w:space="0" w:color="auto"/>
        <w:bottom w:val="none" w:sz="0" w:space="0" w:color="auto"/>
        <w:right w:val="none" w:sz="0" w:space="0" w:color="auto"/>
      </w:divBdr>
    </w:div>
    <w:div w:id="214450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5F30571B-66A7-49B0-A837-DA07F5F53B25}">
  <ds:schemaRefs>
    <ds:schemaRef ds:uri="http://schemas.microsoft.com/office/2006/documentManagement/types"/>
    <ds:schemaRef ds:uri="http://purl.org/dc/terms/"/>
    <ds:schemaRef ds:uri="2f282d3b-eb4a-4b09-b61f-b9593442e286"/>
    <ds:schemaRef ds:uri="http://schemas.openxmlformats.org/package/2006/metadata/core-properties"/>
    <ds:schemaRef ds:uri="d8762117-8292-4133-b1c7-eab5c6487cfd"/>
    <ds:schemaRef ds:uri="http://schemas.microsoft.com/office/2006/metadata/properties"/>
    <ds:schemaRef ds:uri="http://www.w3.org/XML/1998/namespace"/>
    <ds:schemaRef ds:uri="http://purl.org/dc/elements/1.1/"/>
    <ds:schemaRef ds:uri="http://schemas.microsoft.com/sharepoint/v3"/>
    <ds:schemaRef ds:uri="http://purl.org/dc/dcmitype/"/>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8B5E148A-6806-4851-ACA3-EC4299534C0D}">
  <ds:schemaRefs>
    <ds:schemaRef ds:uri="http://schemas.microsoft.com/sharepoint/v3/contenttype/forms"/>
  </ds:schemaRefs>
</ds:datastoreItem>
</file>

<file path=customXml/itemProps4.xml><?xml version="1.0" encoding="utf-8"?>
<ds:datastoreItem xmlns:ds="http://schemas.openxmlformats.org/officeDocument/2006/customXml" ds:itemID="{B00D377A-E388-48E0-A81D-FE69CEE40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1529</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3</cp:revision>
  <dcterms:created xsi:type="dcterms:W3CDTF">2025-11-06T22:58:00Z</dcterms:created>
  <dcterms:modified xsi:type="dcterms:W3CDTF">2025-11-06T22:59:00Z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